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spacing w:line="276" w:lineRule="auto"/>
        <w:jc w:val="center"/>
        <w:rPr>
          <w:b w:val="1"/>
          <w:sz w:val="28"/>
          <w:szCs w:val="28"/>
        </w:rPr>
      </w:pPr>
      <w:r w:rsidDel="00000000" w:rsidR="00000000" w:rsidRPr="00000000">
        <w:rPr>
          <w:b w:val="1"/>
          <w:sz w:val="28"/>
          <w:szCs w:val="28"/>
          <w:rtl w:val="0"/>
        </w:rPr>
        <w:t xml:space="preserve">Legal Assistants to support the Global Tribunal of Women Workers </w:t>
      </w:r>
    </w:p>
    <w:p w:rsidR="00000000" w:rsidDel="00000000" w:rsidP="00000000" w:rsidRDefault="00000000" w:rsidRPr="00000000" w14:paraId="00000004">
      <w:pPr>
        <w:spacing w:line="276" w:lineRule="auto"/>
        <w:rPr>
          <w:b w:val="1"/>
        </w:rPr>
      </w:pPr>
      <w:r w:rsidDel="00000000" w:rsidR="00000000" w:rsidRPr="00000000">
        <w:rPr>
          <w:rtl w:val="0"/>
        </w:rPr>
      </w:r>
    </w:p>
    <w:p w:rsidR="00000000" w:rsidDel="00000000" w:rsidP="00000000" w:rsidRDefault="00000000" w:rsidRPr="00000000" w14:paraId="00000005">
      <w:pPr>
        <w:spacing w:line="276" w:lineRule="auto"/>
        <w:rPr>
          <w:sz w:val="24"/>
          <w:szCs w:val="24"/>
        </w:rPr>
      </w:pPr>
      <w:r w:rsidDel="00000000" w:rsidR="00000000" w:rsidRPr="00000000">
        <w:rPr>
          <w:sz w:val="24"/>
          <w:szCs w:val="24"/>
          <w:rtl w:val="0"/>
        </w:rPr>
        <w:t xml:space="preserve">International Women's Rights Action Watch Asia Pacific (IWRAW AP) is a feminist organisation committed to the full realisation of women's human rights through the pursuit of equality. Together with women’s groups and marginalised communities in the Global South, we challenge structures, systems and institutions that violate women’s human rights, and organise, mobilise and collaboratively build a body of political knowledge and analysis, so as to demand accountability of state and non-state actors.</w:t>
      </w:r>
    </w:p>
    <w:p w:rsidR="00000000" w:rsidDel="00000000" w:rsidP="00000000" w:rsidRDefault="00000000" w:rsidRPr="00000000" w14:paraId="00000006">
      <w:pPr>
        <w:spacing w:line="276" w:lineRule="auto"/>
        <w:rPr>
          <w:sz w:val="24"/>
          <w:szCs w:val="24"/>
        </w:rPr>
      </w:pPr>
      <w:r w:rsidDel="00000000" w:rsidR="00000000" w:rsidRPr="00000000">
        <w:rPr>
          <w:rtl w:val="0"/>
        </w:rPr>
      </w:r>
    </w:p>
    <w:p w:rsidR="00000000" w:rsidDel="00000000" w:rsidP="00000000" w:rsidRDefault="00000000" w:rsidRPr="00000000" w14:paraId="00000007">
      <w:pPr>
        <w:spacing w:line="276" w:lineRule="auto"/>
        <w:rPr>
          <w:sz w:val="24"/>
          <w:szCs w:val="24"/>
        </w:rPr>
      </w:pPr>
      <w:r w:rsidDel="00000000" w:rsidR="00000000" w:rsidRPr="00000000">
        <w:rPr>
          <w:sz w:val="24"/>
          <w:szCs w:val="24"/>
          <w:rtl w:val="0"/>
        </w:rPr>
        <w:t xml:space="preserve">In September 2022, IWRAW AP, alongside a network of collaborators, will convene the </w:t>
      </w:r>
      <w:r w:rsidDel="00000000" w:rsidR="00000000" w:rsidRPr="00000000">
        <w:rPr>
          <w:b w:val="1"/>
          <w:sz w:val="24"/>
          <w:szCs w:val="24"/>
          <w:rtl w:val="0"/>
        </w:rPr>
        <w:t xml:space="preserve">Global Tribunal of Women Workers</w:t>
      </w:r>
      <w:r w:rsidDel="00000000" w:rsidR="00000000" w:rsidRPr="00000000">
        <w:rPr>
          <w:sz w:val="24"/>
          <w:szCs w:val="24"/>
          <w:rtl w:val="0"/>
        </w:rPr>
        <w:t xml:space="preserve">. The tribunal will seek to make visible the broad spectrum of women’s work and address the gross human rights violations and power imbalances experienced by women workers. It will do this using IWRAW AP’s annual </w:t>
      </w:r>
      <w:hyperlink r:id="rId6">
        <w:r w:rsidDel="00000000" w:rsidR="00000000" w:rsidRPr="00000000">
          <w:rPr>
            <w:color w:val="1155cc"/>
            <w:sz w:val="24"/>
            <w:szCs w:val="24"/>
            <w:u w:val="single"/>
            <w:rtl w:val="0"/>
          </w:rPr>
          <w:t xml:space="preserve">Global South Women’s Forum</w:t>
        </w:r>
      </w:hyperlink>
      <w:r w:rsidDel="00000000" w:rsidR="00000000" w:rsidRPr="00000000">
        <w:rPr>
          <w:sz w:val="24"/>
          <w:szCs w:val="24"/>
          <w:rtl w:val="0"/>
        </w:rPr>
        <w:t xml:space="preserve"> as an alternative, worker-centered venue to demand accountability, strengthen solidarity, and develop evidence-based policies pursuant to international human rights and labour standards. A draft concept note for the Global Tribunal can be found </w:t>
      </w:r>
      <w:hyperlink r:id="rId7">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 </w:t>
      </w:r>
    </w:p>
    <w:p w:rsidR="00000000" w:rsidDel="00000000" w:rsidP="00000000" w:rsidRDefault="00000000" w:rsidRPr="00000000" w14:paraId="00000008">
      <w:pPr>
        <w:spacing w:line="276" w:lineRule="auto"/>
        <w:rPr>
          <w:sz w:val="24"/>
          <w:szCs w:val="24"/>
        </w:rPr>
      </w:pPr>
      <w:r w:rsidDel="00000000" w:rsidR="00000000" w:rsidRPr="00000000">
        <w:rPr>
          <w:rtl w:val="0"/>
        </w:rPr>
      </w:r>
    </w:p>
    <w:p w:rsidR="00000000" w:rsidDel="00000000" w:rsidP="00000000" w:rsidRDefault="00000000" w:rsidRPr="00000000" w14:paraId="00000009">
      <w:pPr>
        <w:spacing w:line="276" w:lineRule="auto"/>
        <w:rPr>
          <w:sz w:val="24"/>
          <w:szCs w:val="24"/>
        </w:rPr>
      </w:pPr>
      <w:r w:rsidDel="00000000" w:rsidR="00000000" w:rsidRPr="00000000">
        <w:rPr>
          <w:sz w:val="24"/>
          <w:szCs w:val="24"/>
          <w:rtl w:val="0"/>
        </w:rPr>
        <w:t xml:space="preserve">IWRAW AP is looking to recruit legal assistants to work with the tribunal for </w:t>
      </w:r>
      <w:r w:rsidDel="00000000" w:rsidR="00000000" w:rsidRPr="00000000">
        <w:rPr>
          <w:sz w:val="24"/>
          <w:szCs w:val="24"/>
          <w:rtl w:val="0"/>
        </w:rPr>
        <w:t xml:space="preserve">3-4 months.</w:t>
      </w:r>
      <w:r w:rsidDel="00000000" w:rsidR="00000000" w:rsidRPr="00000000">
        <w:rPr>
          <w:sz w:val="24"/>
          <w:szCs w:val="24"/>
          <w:rtl w:val="0"/>
        </w:rPr>
        <w:t xml:space="preserve">  The terms of reference for the legal assistants are given below. Interested applicants are requested to send their resume and a cover letter to </w:t>
      </w:r>
      <w:hyperlink r:id="rId8">
        <w:r w:rsidDel="00000000" w:rsidR="00000000" w:rsidRPr="00000000">
          <w:rPr>
            <w:color w:val="1155cc"/>
            <w:sz w:val="24"/>
            <w:szCs w:val="24"/>
            <w:u w:val="single"/>
            <w:rtl w:val="0"/>
          </w:rPr>
          <w:t xml:space="preserve">gswf@iwraw-ap.org</w:t>
        </w:r>
      </w:hyperlink>
      <w:r w:rsidDel="00000000" w:rsidR="00000000" w:rsidRPr="00000000">
        <w:rPr>
          <w:sz w:val="24"/>
          <w:szCs w:val="24"/>
          <w:rtl w:val="0"/>
        </w:rPr>
        <w:t xml:space="preserve"> by 13 July 2022. </w:t>
      </w:r>
    </w:p>
    <w:p w:rsidR="00000000" w:rsidDel="00000000" w:rsidP="00000000" w:rsidRDefault="00000000" w:rsidRPr="00000000" w14:paraId="0000000A">
      <w:pPr>
        <w:spacing w:line="276" w:lineRule="auto"/>
        <w:rPr>
          <w:b w:val="1"/>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line="276" w:lineRule="auto"/>
        <w:rPr>
          <w:b w:val="1"/>
        </w:rPr>
      </w:pPr>
      <w:r w:rsidDel="00000000" w:rsidR="00000000" w:rsidRPr="00000000">
        <w:rPr>
          <w:rtl w:val="0"/>
        </w:rPr>
      </w:r>
    </w:p>
    <w:p w:rsidR="00000000" w:rsidDel="00000000" w:rsidP="00000000" w:rsidRDefault="00000000" w:rsidRPr="00000000" w14:paraId="0000000D">
      <w:pPr>
        <w:spacing w:line="276" w:lineRule="auto"/>
        <w:jc w:val="center"/>
        <w:rPr>
          <w:b w:val="1"/>
          <w:sz w:val="28"/>
          <w:szCs w:val="28"/>
        </w:rPr>
      </w:pPr>
      <w:r w:rsidDel="00000000" w:rsidR="00000000" w:rsidRPr="00000000">
        <w:rPr>
          <w:b w:val="1"/>
          <w:sz w:val="28"/>
          <w:szCs w:val="28"/>
          <w:rtl w:val="0"/>
        </w:rPr>
        <w:t xml:space="preserve">TERMS OF REFERENCE </w:t>
      </w:r>
    </w:p>
    <w:p w:rsidR="00000000" w:rsidDel="00000000" w:rsidP="00000000" w:rsidRDefault="00000000" w:rsidRPr="00000000" w14:paraId="0000000E">
      <w:pPr>
        <w:spacing w:line="276" w:lineRule="auto"/>
        <w:jc w:val="center"/>
        <w:rPr>
          <w:b w:val="1"/>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ind w:left="0" w:firstLine="0"/>
        <w:rPr>
          <w:sz w:val="24"/>
          <w:szCs w:val="24"/>
        </w:rPr>
      </w:pPr>
      <w:r w:rsidDel="00000000" w:rsidR="00000000" w:rsidRPr="00000000">
        <w:rPr>
          <w:sz w:val="24"/>
          <w:szCs w:val="24"/>
          <w:rtl w:val="0"/>
        </w:rPr>
        <w:t xml:space="preserve">The Legal Assistant will be recruited to act as the secretary to  the Jury Working Groups of the Global Tribunal.  Each Jury Working Group will be assigned a specific theme and will comprise 5-6 members and will be tasked to make recommendations to key duty bearers.</w:t>
      </w:r>
    </w:p>
    <w:p w:rsidR="00000000" w:rsidDel="00000000" w:rsidP="00000000" w:rsidRDefault="00000000" w:rsidRPr="00000000" w14:paraId="00000011">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12">
      <w:pPr>
        <w:spacing w:line="276" w:lineRule="auto"/>
        <w:ind w:left="0" w:firstLine="0"/>
        <w:rPr>
          <w:sz w:val="24"/>
          <w:szCs w:val="24"/>
        </w:rPr>
      </w:pPr>
      <w:r w:rsidDel="00000000" w:rsidR="00000000" w:rsidRPr="00000000">
        <w:rPr>
          <w:sz w:val="24"/>
          <w:szCs w:val="24"/>
          <w:rtl w:val="0"/>
        </w:rPr>
        <w:t xml:space="preserve">The Legal Assistant will have the following tasks: </w:t>
      </w:r>
    </w:p>
    <w:p w:rsidR="00000000" w:rsidDel="00000000" w:rsidP="00000000" w:rsidRDefault="00000000" w:rsidRPr="00000000" w14:paraId="00000013">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14">
      <w:pPr>
        <w:numPr>
          <w:ilvl w:val="0"/>
          <w:numId w:val="3"/>
        </w:numPr>
        <w:spacing w:line="276" w:lineRule="auto"/>
        <w:ind w:left="450" w:hanging="360"/>
        <w:rPr>
          <w:b w:val="1"/>
          <w:sz w:val="24"/>
          <w:szCs w:val="24"/>
        </w:rPr>
      </w:pPr>
      <w:r w:rsidDel="00000000" w:rsidR="00000000" w:rsidRPr="00000000">
        <w:rPr>
          <w:b w:val="1"/>
          <w:sz w:val="24"/>
          <w:szCs w:val="24"/>
          <w:rtl w:val="0"/>
        </w:rPr>
        <w:t xml:space="preserve">Preparation for the Tribunal (6-8</w:t>
      </w:r>
      <w:r w:rsidDel="00000000" w:rsidR="00000000" w:rsidRPr="00000000">
        <w:rPr>
          <w:b w:val="1"/>
          <w:sz w:val="24"/>
          <w:szCs w:val="24"/>
          <w:rtl w:val="0"/>
        </w:rPr>
        <w:t xml:space="preserve"> weeks before start date</w:t>
      </w:r>
      <w:r w:rsidDel="00000000" w:rsidR="00000000" w:rsidRPr="00000000">
        <w:rPr>
          <w:b w:val="1"/>
          <w:sz w:val="24"/>
          <w:szCs w:val="24"/>
          <w:rtl w:val="0"/>
        </w:rPr>
        <w:t xml:space="preserve">)</w:t>
      </w:r>
    </w:p>
    <w:p w:rsidR="00000000" w:rsidDel="00000000" w:rsidP="00000000" w:rsidRDefault="00000000" w:rsidRPr="00000000" w14:paraId="00000015">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16">
      <w:pPr>
        <w:numPr>
          <w:ilvl w:val="0"/>
          <w:numId w:val="1"/>
        </w:numPr>
        <w:spacing w:line="276" w:lineRule="auto"/>
        <w:ind w:left="900" w:hanging="360"/>
        <w:rPr>
          <w:sz w:val="24"/>
          <w:szCs w:val="24"/>
          <w:u w:val="none"/>
        </w:rPr>
      </w:pPr>
      <w:r w:rsidDel="00000000" w:rsidR="00000000" w:rsidRPr="00000000">
        <w:rPr>
          <w:sz w:val="24"/>
          <w:szCs w:val="24"/>
          <w:rtl w:val="0"/>
        </w:rPr>
        <w:t xml:space="preserve">Familiarise themselves with ALL the testimonies that are presented to their particular group. </w:t>
      </w:r>
    </w:p>
    <w:p w:rsidR="00000000" w:rsidDel="00000000" w:rsidP="00000000" w:rsidRDefault="00000000" w:rsidRPr="00000000" w14:paraId="00000017">
      <w:pPr>
        <w:numPr>
          <w:ilvl w:val="0"/>
          <w:numId w:val="1"/>
        </w:numPr>
        <w:spacing w:line="276" w:lineRule="auto"/>
        <w:ind w:left="900" w:hanging="360"/>
        <w:rPr>
          <w:sz w:val="24"/>
          <w:szCs w:val="24"/>
          <w:u w:val="none"/>
        </w:rPr>
      </w:pPr>
      <w:r w:rsidDel="00000000" w:rsidR="00000000" w:rsidRPr="00000000">
        <w:rPr>
          <w:sz w:val="24"/>
          <w:szCs w:val="24"/>
          <w:rtl w:val="0"/>
        </w:rPr>
        <w:t xml:space="preserve">Carry out basic legal and situational analysis around the testimonies relating to the national, regional and international  legal frameworks for addressing the issues around their allocated theme. </w:t>
      </w:r>
    </w:p>
    <w:p w:rsidR="00000000" w:rsidDel="00000000" w:rsidP="00000000" w:rsidRDefault="00000000" w:rsidRPr="00000000" w14:paraId="00000018">
      <w:pPr>
        <w:numPr>
          <w:ilvl w:val="0"/>
          <w:numId w:val="1"/>
        </w:numPr>
        <w:spacing w:line="276" w:lineRule="auto"/>
        <w:ind w:left="900" w:hanging="360"/>
        <w:rPr>
          <w:sz w:val="24"/>
          <w:szCs w:val="24"/>
          <w:u w:val="none"/>
        </w:rPr>
      </w:pPr>
      <w:r w:rsidDel="00000000" w:rsidR="00000000" w:rsidRPr="00000000">
        <w:rPr>
          <w:sz w:val="24"/>
          <w:szCs w:val="24"/>
          <w:rtl w:val="0"/>
        </w:rPr>
        <w:t xml:space="preserve">Collate relevant alternative information to support the analysis for sharing with their assigned Jury Working Group as needed. </w:t>
      </w:r>
    </w:p>
    <w:p w:rsidR="00000000" w:rsidDel="00000000" w:rsidP="00000000" w:rsidRDefault="00000000" w:rsidRPr="00000000" w14:paraId="00000019">
      <w:pPr>
        <w:numPr>
          <w:ilvl w:val="0"/>
          <w:numId w:val="1"/>
        </w:numPr>
        <w:spacing w:line="276" w:lineRule="auto"/>
        <w:ind w:left="900" w:hanging="360"/>
        <w:rPr>
          <w:sz w:val="24"/>
          <w:szCs w:val="24"/>
          <w:u w:val="none"/>
        </w:rPr>
      </w:pPr>
      <w:r w:rsidDel="00000000" w:rsidR="00000000" w:rsidRPr="00000000">
        <w:rPr>
          <w:sz w:val="24"/>
          <w:szCs w:val="24"/>
          <w:rtl w:val="0"/>
        </w:rPr>
        <w:t xml:space="preserve">Understand the other issues that are being presented and any cross thematic relevance. </w:t>
      </w:r>
    </w:p>
    <w:p w:rsidR="00000000" w:rsidDel="00000000" w:rsidP="00000000" w:rsidRDefault="00000000" w:rsidRPr="00000000" w14:paraId="0000001A">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1B">
      <w:pPr>
        <w:numPr>
          <w:ilvl w:val="0"/>
          <w:numId w:val="3"/>
        </w:numPr>
        <w:spacing w:line="276" w:lineRule="auto"/>
        <w:ind w:left="450" w:hanging="360"/>
        <w:rPr>
          <w:b w:val="1"/>
          <w:sz w:val="24"/>
          <w:szCs w:val="24"/>
        </w:rPr>
      </w:pPr>
      <w:r w:rsidDel="00000000" w:rsidR="00000000" w:rsidRPr="00000000">
        <w:rPr>
          <w:b w:val="1"/>
          <w:sz w:val="24"/>
          <w:szCs w:val="24"/>
          <w:rtl w:val="0"/>
        </w:rPr>
        <w:t xml:space="preserve">At the Tribunal</w:t>
      </w:r>
    </w:p>
    <w:p w:rsidR="00000000" w:rsidDel="00000000" w:rsidP="00000000" w:rsidRDefault="00000000" w:rsidRPr="00000000" w14:paraId="0000001C">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1D">
      <w:pPr>
        <w:numPr>
          <w:ilvl w:val="0"/>
          <w:numId w:val="1"/>
        </w:numPr>
        <w:spacing w:line="276" w:lineRule="auto"/>
        <w:ind w:left="900" w:hanging="360"/>
        <w:rPr>
          <w:sz w:val="24"/>
          <w:szCs w:val="24"/>
          <w:u w:val="none"/>
        </w:rPr>
      </w:pPr>
      <w:r w:rsidDel="00000000" w:rsidR="00000000" w:rsidRPr="00000000">
        <w:rPr>
          <w:sz w:val="24"/>
          <w:szCs w:val="24"/>
          <w:rtl w:val="0"/>
        </w:rPr>
        <w:t xml:space="preserve">Attend the presentations of the testimonies relating to their assigned thematic and overlapping areas of concern.   </w:t>
      </w:r>
    </w:p>
    <w:p w:rsidR="00000000" w:rsidDel="00000000" w:rsidP="00000000" w:rsidRDefault="00000000" w:rsidRPr="00000000" w14:paraId="0000001E">
      <w:pPr>
        <w:numPr>
          <w:ilvl w:val="0"/>
          <w:numId w:val="1"/>
        </w:numPr>
        <w:spacing w:line="276" w:lineRule="auto"/>
        <w:ind w:left="900" w:hanging="360"/>
        <w:rPr>
          <w:sz w:val="24"/>
          <w:szCs w:val="24"/>
          <w:u w:val="none"/>
        </w:rPr>
      </w:pPr>
      <w:r w:rsidDel="00000000" w:rsidR="00000000" w:rsidRPr="00000000">
        <w:rPr>
          <w:sz w:val="24"/>
          <w:szCs w:val="24"/>
          <w:rtl w:val="0"/>
        </w:rPr>
        <w:t xml:space="preserve">Attend all the sessions (formal and informal) of their assigned Jury Working Group. </w:t>
      </w:r>
    </w:p>
    <w:p w:rsidR="00000000" w:rsidDel="00000000" w:rsidP="00000000" w:rsidRDefault="00000000" w:rsidRPr="00000000" w14:paraId="0000001F">
      <w:pPr>
        <w:numPr>
          <w:ilvl w:val="0"/>
          <w:numId w:val="1"/>
        </w:numPr>
        <w:spacing w:line="276" w:lineRule="auto"/>
        <w:ind w:left="900" w:hanging="360"/>
        <w:rPr>
          <w:sz w:val="24"/>
          <w:szCs w:val="24"/>
          <w:u w:val="none"/>
        </w:rPr>
      </w:pPr>
      <w:r w:rsidDel="00000000" w:rsidR="00000000" w:rsidRPr="00000000">
        <w:rPr>
          <w:sz w:val="24"/>
          <w:szCs w:val="24"/>
          <w:rtl w:val="0"/>
        </w:rPr>
        <w:t xml:space="preserve">Facilitate the information flow, including sharing the outcomes of the basic research into the issues. </w:t>
      </w:r>
    </w:p>
    <w:p w:rsidR="00000000" w:rsidDel="00000000" w:rsidP="00000000" w:rsidRDefault="00000000" w:rsidRPr="00000000" w14:paraId="00000020">
      <w:pPr>
        <w:numPr>
          <w:ilvl w:val="0"/>
          <w:numId w:val="1"/>
        </w:numPr>
        <w:spacing w:line="276" w:lineRule="auto"/>
        <w:ind w:left="900" w:hanging="360"/>
        <w:rPr>
          <w:sz w:val="24"/>
          <w:szCs w:val="24"/>
          <w:u w:val="none"/>
        </w:rPr>
      </w:pPr>
      <w:r w:rsidDel="00000000" w:rsidR="00000000" w:rsidRPr="00000000">
        <w:rPr>
          <w:sz w:val="24"/>
          <w:szCs w:val="24"/>
          <w:rtl w:val="0"/>
        </w:rPr>
        <w:t xml:space="preserve">Support the Jury Working Group logistics in collaboration with IWRAW AP’s GSWF logistics team. </w:t>
      </w:r>
    </w:p>
    <w:p w:rsidR="00000000" w:rsidDel="00000000" w:rsidP="00000000" w:rsidRDefault="00000000" w:rsidRPr="00000000" w14:paraId="00000021">
      <w:pPr>
        <w:numPr>
          <w:ilvl w:val="0"/>
          <w:numId w:val="1"/>
        </w:numPr>
        <w:spacing w:line="276" w:lineRule="auto"/>
        <w:ind w:left="900" w:hanging="360"/>
        <w:rPr>
          <w:sz w:val="24"/>
          <w:szCs w:val="24"/>
          <w:u w:val="none"/>
        </w:rPr>
      </w:pPr>
      <w:r w:rsidDel="00000000" w:rsidR="00000000" w:rsidRPr="00000000">
        <w:rPr>
          <w:sz w:val="24"/>
          <w:szCs w:val="24"/>
          <w:rtl w:val="0"/>
        </w:rPr>
        <w:t xml:space="preserve">Work closely  with the Chair of the Jury Group to develop the recommendations to the duty bearers.</w:t>
      </w:r>
    </w:p>
    <w:p w:rsidR="00000000" w:rsidDel="00000000" w:rsidP="00000000" w:rsidRDefault="00000000" w:rsidRPr="00000000" w14:paraId="00000022">
      <w:pPr>
        <w:numPr>
          <w:ilvl w:val="0"/>
          <w:numId w:val="1"/>
        </w:numPr>
        <w:spacing w:line="276" w:lineRule="auto"/>
        <w:ind w:left="900" w:hanging="360"/>
        <w:rPr>
          <w:sz w:val="24"/>
          <w:szCs w:val="24"/>
          <w:u w:val="none"/>
        </w:rPr>
      </w:pPr>
      <w:r w:rsidDel="00000000" w:rsidR="00000000" w:rsidRPr="00000000">
        <w:rPr>
          <w:sz w:val="24"/>
          <w:szCs w:val="24"/>
          <w:rtl w:val="0"/>
        </w:rPr>
        <w:t xml:space="preserve">In collaboration with the Chair of the Jury Working Group and the Tribunal’s organising team/coalition, prepare the recommendations for presentation at the Tribunal’s final session. </w:t>
      </w:r>
    </w:p>
    <w:p w:rsidR="00000000" w:rsidDel="00000000" w:rsidP="00000000" w:rsidRDefault="00000000" w:rsidRPr="00000000" w14:paraId="00000023">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24">
      <w:pPr>
        <w:spacing w:line="276" w:lineRule="auto"/>
        <w:ind w:left="450" w:firstLine="0"/>
        <w:rPr>
          <w:b w:val="1"/>
          <w:sz w:val="24"/>
          <w:szCs w:val="24"/>
        </w:rPr>
      </w:pPr>
      <w:r w:rsidDel="00000000" w:rsidR="00000000" w:rsidRPr="00000000">
        <w:rPr>
          <w:b w:val="1"/>
          <w:sz w:val="24"/>
          <w:szCs w:val="24"/>
          <w:rtl w:val="0"/>
        </w:rPr>
        <w:t xml:space="preserve">Qualifications</w:t>
      </w:r>
    </w:p>
    <w:p w:rsidR="00000000" w:rsidDel="00000000" w:rsidP="00000000" w:rsidRDefault="00000000" w:rsidRPr="00000000" w14:paraId="00000025">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26">
      <w:pPr>
        <w:numPr>
          <w:ilvl w:val="0"/>
          <w:numId w:val="2"/>
        </w:numPr>
        <w:spacing w:line="276" w:lineRule="auto"/>
        <w:ind w:left="900" w:hanging="360"/>
        <w:rPr>
          <w:sz w:val="24"/>
          <w:szCs w:val="24"/>
          <w:u w:val="none"/>
        </w:rPr>
      </w:pPr>
      <w:r w:rsidDel="00000000" w:rsidR="00000000" w:rsidRPr="00000000">
        <w:rPr>
          <w:sz w:val="24"/>
          <w:szCs w:val="24"/>
          <w:rtl w:val="0"/>
        </w:rPr>
        <w:t xml:space="preserve">Completed or studying for a law degree. </w:t>
      </w:r>
    </w:p>
    <w:p w:rsidR="00000000" w:rsidDel="00000000" w:rsidP="00000000" w:rsidRDefault="00000000" w:rsidRPr="00000000" w14:paraId="00000027">
      <w:pPr>
        <w:numPr>
          <w:ilvl w:val="0"/>
          <w:numId w:val="2"/>
        </w:numPr>
        <w:spacing w:line="276" w:lineRule="auto"/>
        <w:ind w:left="900" w:hanging="360"/>
        <w:rPr>
          <w:sz w:val="24"/>
          <w:szCs w:val="24"/>
          <w:u w:val="none"/>
        </w:rPr>
      </w:pPr>
      <w:r w:rsidDel="00000000" w:rsidR="00000000" w:rsidRPr="00000000">
        <w:rPr>
          <w:sz w:val="24"/>
          <w:szCs w:val="24"/>
          <w:rtl w:val="0"/>
        </w:rPr>
        <w:t xml:space="preserve">Proven research and analytical skills. </w:t>
      </w:r>
    </w:p>
    <w:p w:rsidR="00000000" w:rsidDel="00000000" w:rsidP="00000000" w:rsidRDefault="00000000" w:rsidRPr="00000000" w14:paraId="00000028">
      <w:pPr>
        <w:numPr>
          <w:ilvl w:val="0"/>
          <w:numId w:val="2"/>
        </w:numPr>
        <w:spacing w:line="276" w:lineRule="auto"/>
        <w:ind w:left="900" w:hanging="360"/>
        <w:rPr>
          <w:sz w:val="24"/>
          <w:szCs w:val="24"/>
          <w:u w:val="none"/>
        </w:rPr>
      </w:pPr>
      <w:r w:rsidDel="00000000" w:rsidR="00000000" w:rsidRPr="00000000">
        <w:rPr>
          <w:sz w:val="24"/>
          <w:szCs w:val="24"/>
          <w:rtl w:val="0"/>
        </w:rPr>
        <w:t xml:space="preserve">An interest in the women’s human rights and labour rights movements. </w:t>
      </w:r>
    </w:p>
    <w:p w:rsidR="00000000" w:rsidDel="00000000" w:rsidP="00000000" w:rsidRDefault="00000000" w:rsidRPr="00000000" w14:paraId="00000029">
      <w:pPr>
        <w:numPr>
          <w:ilvl w:val="0"/>
          <w:numId w:val="2"/>
        </w:numPr>
        <w:spacing w:line="276" w:lineRule="auto"/>
        <w:ind w:left="900" w:hanging="360"/>
        <w:rPr>
          <w:sz w:val="24"/>
          <w:szCs w:val="24"/>
          <w:u w:val="none"/>
        </w:rPr>
      </w:pPr>
      <w:r w:rsidDel="00000000" w:rsidR="00000000" w:rsidRPr="00000000">
        <w:rPr>
          <w:sz w:val="24"/>
          <w:szCs w:val="24"/>
          <w:rtl w:val="0"/>
        </w:rPr>
        <w:t xml:space="preserve">Good English language writing skills. </w:t>
      </w:r>
    </w:p>
    <w:p w:rsidR="00000000" w:rsidDel="00000000" w:rsidP="00000000" w:rsidRDefault="00000000" w:rsidRPr="00000000" w14:paraId="0000002A">
      <w:pPr>
        <w:numPr>
          <w:ilvl w:val="0"/>
          <w:numId w:val="2"/>
        </w:numPr>
        <w:spacing w:line="276" w:lineRule="auto"/>
        <w:ind w:left="900" w:hanging="360"/>
        <w:rPr>
          <w:sz w:val="24"/>
          <w:szCs w:val="24"/>
          <w:u w:val="none"/>
        </w:rPr>
      </w:pPr>
      <w:r w:rsidDel="00000000" w:rsidR="00000000" w:rsidRPr="00000000">
        <w:rPr>
          <w:sz w:val="24"/>
          <w:szCs w:val="24"/>
          <w:rtl w:val="0"/>
        </w:rPr>
        <w:t xml:space="preserve">Good English language communication skills, other languages will be an advantage. </w:t>
      </w:r>
    </w:p>
    <w:p w:rsidR="00000000" w:rsidDel="00000000" w:rsidP="00000000" w:rsidRDefault="00000000" w:rsidRPr="00000000" w14:paraId="0000002B">
      <w:pPr>
        <w:numPr>
          <w:ilvl w:val="0"/>
          <w:numId w:val="2"/>
        </w:numPr>
        <w:spacing w:line="276" w:lineRule="auto"/>
        <w:ind w:left="900" w:hanging="360"/>
        <w:rPr>
          <w:sz w:val="24"/>
          <w:szCs w:val="24"/>
          <w:u w:val="none"/>
        </w:rPr>
      </w:pPr>
      <w:r w:rsidDel="00000000" w:rsidR="00000000" w:rsidRPr="00000000">
        <w:rPr>
          <w:sz w:val="24"/>
          <w:szCs w:val="24"/>
          <w:rtl w:val="0"/>
        </w:rPr>
        <w:t xml:space="preserve">Experience of working, living or being from a country in the global south, an advantage.</w:t>
      </w:r>
    </w:p>
    <w:p w:rsidR="00000000" w:rsidDel="00000000" w:rsidP="00000000" w:rsidRDefault="00000000" w:rsidRPr="00000000" w14:paraId="0000002C">
      <w:pPr>
        <w:numPr>
          <w:ilvl w:val="0"/>
          <w:numId w:val="2"/>
        </w:numPr>
        <w:spacing w:line="276" w:lineRule="auto"/>
        <w:ind w:left="900" w:hanging="360"/>
        <w:rPr>
          <w:sz w:val="24"/>
          <w:szCs w:val="24"/>
          <w:u w:val="none"/>
        </w:rPr>
      </w:pPr>
      <w:r w:rsidDel="00000000" w:rsidR="00000000" w:rsidRPr="00000000">
        <w:rPr>
          <w:sz w:val="24"/>
          <w:szCs w:val="24"/>
          <w:rtl w:val="0"/>
        </w:rPr>
        <w:t xml:space="preserve">Experience of supporting the work of a tribunal an advantage.</w:t>
      </w:r>
    </w:p>
    <w:p w:rsidR="00000000" w:rsidDel="00000000" w:rsidP="00000000" w:rsidRDefault="00000000" w:rsidRPr="00000000" w14:paraId="0000002D">
      <w:pPr>
        <w:spacing w:line="276" w:lineRule="auto"/>
        <w:rPr>
          <w:sz w:val="24"/>
          <w:szCs w:val="24"/>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right"/>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center"/>
      <w:rPr/>
    </w:pPr>
    <w:r w:rsidDel="00000000" w:rsidR="00000000" w:rsidRPr="00000000">
      <w:rPr/>
      <w:drawing>
        <wp:inline distB="114300" distT="114300" distL="114300" distR="114300">
          <wp:extent cx="2497455" cy="18621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97455" cy="1862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0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90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gswf.iwraw-ap.org/" TargetMode="External"/><Relationship Id="rId7" Type="http://schemas.openxmlformats.org/officeDocument/2006/relationships/hyperlink" Target="https://www.iwraw-ap.org/wp-content/uploads/2022/06/Equality-and-Justice-for-Women-Workers_A-Global-Tribunal-Draft-Concept-note.pdf" TargetMode="External"/><Relationship Id="rId8" Type="http://schemas.openxmlformats.org/officeDocument/2006/relationships/hyperlink" Target="mailto:gswf@iwraw-ap.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