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580" w:val="left" w:leader="none"/>
        </w:tabs>
        <w:spacing w:line="240" w:lineRule="auto"/>
        <w:ind w:left="244" w:right="0" w:firstLine="0"/>
        <w:rPr>
          <w:rFonts w:ascii="Times New Roman"/>
          <w:sz w:val="20"/>
        </w:rPr>
      </w:pPr>
      <w:r>
        <w:rPr>
          <w:rFonts w:ascii="Times New Roman"/>
          <w:position w:val="11"/>
          <w:sz w:val="20"/>
        </w:rPr>
        <w:drawing>
          <wp:inline distT="0" distB="0" distL="0" distR="0">
            <wp:extent cx="1174099" cy="882396"/>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74099" cy="882396"/>
                    </a:xfrm>
                    <a:prstGeom prst="rect">
                      <a:avLst/>
                    </a:prstGeom>
                  </pic:spPr>
                </pic:pic>
              </a:graphicData>
            </a:graphic>
          </wp:inline>
        </w:drawing>
      </w:r>
      <w:r>
        <w:rPr>
          <w:rFonts w:ascii="Times New Roman"/>
          <w:position w:val="11"/>
          <w:sz w:val="20"/>
        </w:rPr>
      </w:r>
      <w:r>
        <w:rPr>
          <w:rFonts w:ascii="Times New Roman"/>
          <w:position w:val="11"/>
          <w:sz w:val="20"/>
        </w:rPr>
        <w:tab/>
      </w:r>
      <w:r>
        <w:rPr>
          <w:rFonts w:ascii="Times New Roman"/>
          <w:sz w:val="20"/>
        </w:rPr>
        <w:drawing>
          <wp:inline distT="0" distB="0" distL="0" distR="0">
            <wp:extent cx="1720411" cy="99669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720411" cy="996696"/>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5"/>
        <w:rPr>
          <w:rFonts w:ascii="Times New Roman"/>
          <w:sz w:val="26"/>
        </w:rPr>
      </w:pPr>
    </w:p>
    <w:p>
      <w:pPr>
        <w:pStyle w:val="Heading1"/>
        <w:spacing w:before="94"/>
      </w:pPr>
      <w:r>
        <w:rPr/>
        <w:t>UN Guiding Principles on Business and Human Rights at 10:</w:t>
      </w:r>
    </w:p>
    <w:p>
      <w:pPr>
        <w:spacing w:line="276" w:lineRule="auto" w:before="37"/>
        <w:ind w:left="126" w:right="142" w:firstLine="0"/>
        <w:jc w:val="center"/>
        <w:rPr>
          <w:b/>
          <w:sz w:val="22"/>
        </w:rPr>
      </w:pPr>
      <w:r>
        <w:rPr>
          <w:b/>
          <w:sz w:val="22"/>
        </w:rPr>
        <w:t>Ensuring Protection of Rights of Sex Workers as Vulnerable Workers and Rights-Holders in the Global Economy</w:t>
      </w:r>
    </w:p>
    <w:p>
      <w:pPr>
        <w:pStyle w:val="BodyText"/>
        <w:spacing w:before="3"/>
        <w:rPr>
          <w:b/>
          <w:sz w:val="11"/>
        </w:rPr>
      </w:pPr>
      <w:r>
        <w:rPr/>
        <w:pict>
          <v:group style="position:absolute;margin-left:72pt;margin-top:8.460791pt;width:468.1pt;height:1.6pt;mso-position-horizontal-relative:page;mso-position-vertical-relative:paragraph;z-index:-15728640;mso-wrap-distance-left:0;mso-wrap-distance-right:0" coordorigin="1440,169" coordsize="9362,32">
            <v:rect style="position:absolute;left:1440;top:169;width:9360;height:31" filled="true" fillcolor="#9f9f9f" stroked="false">
              <v:fill type="solid"/>
            </v:rect>
            <v:rect style="position:absolute;left:10797;top:169;width:5;height:5" filled="true" fillcolor="#e2e2e2" stroked="false">
              <v:fill type="solid"/>
            </v:rect>
            <v:shape style="position:absolute;left:1440;top:169;width:9362;height:27" coordorigin="1440,170" coordsize="9362,27" path="m1445,175l1440,175,1440,196,1445,196,1445,175xm10802,170l10797,170,10797,175,10802,175,10802,170xe" filled="true" fillcolor="#9f9f9f" stroked="false">
              <v:path arrowok="t"/>
              <v:fill type="solid"/>
            </v:shape>
            <v:rect style="position:absolute;left:10797;top:174;width:5;height:22" filled="true" fillcolor="#e2e2e2" stroked="false">
              <v:fill type="solid"/>
            </v:rect>
            <v:rect style="position:absolute;left:1440;top:196;width:5;height:5" filled="true" fillcolor="#9f9f9f" stroked="false">
              <v:fill type="solid"/>
            </v:rect>
            <v:shape style="position:absolute;left:1440;top:196;width:9362;height:5" coordorigin="1440,196" coordsize="9362,5" path="m10797,196l1445,196,1440,196,1440,201,1445,201,10797,201,10797,196xm10802,196l10797,196,10797,201,10802,201,10802,196xe" filled="true" fillcolor="#e2e2e2" stroked="false">
              <v:path arrowok="t"/>
              <v:fill type="solid"/>
            </v:shape>
            <w10:wrap type="topAndBottom"/>
          </v:group>
        </w:pict>
      </w:r>
    </w:p>
    <w:p>
      <w:pPr>
        <w:pStyle w:val="BodyText"/>
        <w:spacing w:line="276" w:lineRule="auto" w:before="63"/>
        <w:ind w:left="100" w:right="113"/>
        <w:jc w:val="both"/>
      </w:pPr>
      <w:r>
        <w:rPr/>
        <w:t>IWRAW Asia Pacific and NSWP call on the UN Working Group on Business and Human Rights to</w:t>
      </w:r>
      <w:r>
        <w:rPr>
          <w:spacing w:val="-10"/>
        </w:rPr>
        <w:t> </w:t>
      </w:r>
      <w:r>
        <w:rPr/>
        <w:t>ensure</w:t>
      </w:r>
      <w:r>
        <w:rPr>
          <w:spacing w:val="-13"/>
        </w:rPr>
        <w:t> </w:t>
      </w:r>
      <w:r>
        <w:rPr/>
        <w:t>a</w:t>
      </w:r>
      <w:r>
        <w:rPr>
          <w:spacing w:val="-14"/>
        </w:rPr>
        <w:t> </w:t>
      </w:r>
      <w:r>
        <w:rPr/>
        <w:t>rights-affirming</w:t>
      </w:r>
      <w:r>
        <w:rPr>
          <w:spacing w:val="-11"/>
        </w:rPr>
        <w:t> </w:t>
      </w:r>
      <w:r>
        <w:rPr/>
        <w:t>approach</w:t>
      </w:r>
      <w:r>
        <w:rPr>
          <w:spacing w:val="-12"/>
        </w:rPr>
        <w:t> </w:t>
      </w:r>
      <w:r>
        <w:rPr/>
        <w:t>to</w:t>
      </w:r>
      <w:r>
        <w:rPr>
          <w:spacing w:val="-13"/>
        </w:rPr>
        <w:t> </w:t>
      </w:r>
      <w:r>
        <w:rPr/>
        <w:t>sex</w:t>
      </w:r>
      <w:r>
        <w:rPr>
          <w:spacing w:val="-12"/>
        </w:rPr>
        <w:t> </w:t>
      </w:r>
      <w:r>
        <w:rPr/>
        <w:t>work</w:t>
      </w:r>
      <w:r>
        <w:rPr>
          <w:spacing w:val="-15"/>
        </w:rPr>
        <w:t> </w:t>
      </w:r>
      <w:r>
        <w:rPr/>
        <w:t>as</w:t>
      </w:r>
      <w:r>
        <w:rPr>
          <w:spacing w:val="-12"/>
        </w:rPr>
        <w:t> </w:t>
      </w:r>
      <w:r>
        <w:rPr/>
        <w:t>they</w:t>
      </w:r>
      <w:r>
        <w:rPr>
          <w:spacing w:val="-11"/>
        </w:rPr>
        <w:t> </w:t>
      </w:r>
      <w:r>
        <w:rPr/>
        <w:t>take</w:t>
      </w:r>
      <w:r>
        <w:rPr>
          <w:spacing w:val="-15"/>
        </w:rPr>
        <w:t> </w:t>
      </w:r>
      <w:r>
        <w:rPr/>
        <w:t>stock</w:t>
      </w:r>
      <w:r>
        <w:rPr>
          <w:spacing w:val="-12"/>
        </w:rPr>
        <w:t> </w:t>
      </w:r>
      <w:r>
        <w:rPr/>
        <w:t>of</w:t>
      </w:r>
      <w:r>
        <w:rPr>
          <w:spacing w:val="-11"/>
        </w:rPr>
        <w:t> </w:t>
      </w:r>
      <w:r>
        <w:rPr/>
        <w:t>10</w:t>
      </w:r>
      <w:r>
        <w:rPr>
          <w:spacing w:val="-12"/>
        </w:rPr>
        <w:t> </w:t>
      </w:r>
      <w:r>
        <w:rPr/>
        <w:t>years</w:t>
      </w:r>
      <w:r>
        <w:rPr>
          <w:spacing w:val="-12"/>
        </w:rPr>
        <w:t> </w:t>
      </w:r>
      <w:r>
        <w:rPr/>
        <w:t>of</w:t>
      </w:r>
      <w:r>
        <w:rPr>
          <w:spacing w:val="-13"/>
        </w:rPr>
        <w:t> </w:t>
      </w:r>
      <w:r>
        <w:rPr/>
        <w:t>the</w:t>
      </w:r>
      <w:r>
        <w:rPr>
          <w:spacing w:val="-13"/>
        </w:rPr>
        <w:t> </w:t>
      </w:r>
      <w:r>
        <w:rPr/>
        <w:t>UN</w:t>
      </w:r>
      <w:r>
        <w:rPr>
          <w:spacing w:val="-13"/>
        </w:rPr>
        <w:t> </w:t>
      </w:r>
      <w:r>
        <w:rPr/>
        <w:t>Guiding Principles on Business and Human Rights (UNGPs) and develop an ambitious vision and roadmap for the decade ahead. We make this statement to supplement </w:t>
      </w:r>
      <w:hyperlink r:id="rId8">
        <w:r>
          <w:rPr>
            <w:color w:val="1154CC"/>
            <w:u w:val="single" w:color="1154CC"/>
          </w:rPr>
          <w:t>recent calls</w:t>
        </w:r>
        <w:r>
          <w:rPr>
            <w:color w:val="1154CC"/>
          </w:rPr>
          <w:t> </w:t>
        </w:r>
      </w:hyperlink>
      <w:r>
        <w:rPr/>
        <w:t>made to the UN Working Group to apply the UNGPs more rigorously with respect to the sex</w:t>
      </w:r>
      <w:r>
        <w:rPr>
          <w:spacing w:val="-22"/>
        </w:rPr>
        <w:t> </w:t>
      </w:r>
      <w:r>
        <w:rPr/>
        <w:t>industry.</w:t>
      </w:r>
    </w:p>
    <w:p>
      <w:pPr>
        <w:pStyle w:val="BodyText"/>
        <w:spacing w:before="2"/>
        <w:rPr>
          <w:sz w:val="25"/>
        </w:rPr>
      </w:pPr>
    </w:p>
    <w:p>
      <w:pPr>
        <w:pStyle w:val="BodyText"/>
        <w:spacing w:line="276" w:lineRule="auto"/>
        <w:ind w:left="100" w:right="111"/>
        <w:jc w:val="both"/>
      </w:pPr>
      <w:r>
        <w:rPr/>
        <w:t>As women’s rights and sex workers’ rights activists, we welcome any measure to enhance the protection of the human rights of sex workers. We, however, emphasise that in formulating guidance</w:t>
      </w:r>
      <w:r>
        <w:rPr>
          <w:spacing w:val="-3"/>
        </w:rPr>
        <w:t> </w:t>
      </w:r>
      <w:r>
        <w:rPr/>
        <w:t>and</w:t>
      </w:r>
      <w:r>
        <w:rPr>
          <w:spacing w:val="-5"/>
        </w:rPr>
        <w:t> </w:t>
      </w:r>
      <w:r>
        <w:rPr/>
        <w:t>recommendations</w:t>
      </w:r>
      <w:r>
        <w:rPr>
          <w:spacing w:val="-3"/>
        </w:rPr>
        <w:t> </w:t>
      </w:r>
      <w:r>
        <w:rPr/>
        <w:t>on</w:t>
      </w:r>
      <w:r>
        <w:rPr>
          <w:spacing w:val="-6"/>
        </w:rPr>
        <w:t> </w:t>
      </w:r>
      <w:r>
        <w:rPr/>
        <w:t>this</w:t>
      </w:r>
      <w:r>
        <w:rPr>
          <w:spacing w:val="-7"/>
        </w:rPr>
        <w:t> </w:t>
      </w:r>
      <w:r>
        <w:rPr/>
        <w:t>topic,</w:t>
      </w:r>
      <w:r>
        <w:rPr>
          <w:spacing w:val="-4"/>
        </w:rPr>
        <w:t> </w:t>
      </w:r>
      <w:r>
        <w:rPr/>
        <w:t>it</w:t>
      </w:r>
      <w:r>
        <w:rPr>
          <w:spacing w:val="-4"/>
        </w:rPr>
        <w:t> </w:t>
      </w:r>
      <w:r>
        <w:rPr/>
        <w:t>is</w:t>
      </w:r>
      <w:r>
        <w:rPr>
          <w:spacing w:val="-4"/>
        </w:rPr>
        <w:t> </w:t>
      </w:r>
      <w:r>
        <w:rPr/>
        <w:t>imperative</w:t>
      </w:r>
      <w:r>
        <w:rPr>
          <w:spacing w:val="-6"/>
        </w:rPr>
        <w:t> </w:t>
      </w:r>
      <w:r>
        <w:rPr/>
        <w:t>that</w:t>
      </w:r>
      <w:r>
        <w:rPr>
          <w:spacing w:val="-4"/>
        </w:rPr>
        <w:t> </w:t>
      </w:r>
      <w:r>
        <w:rPr/>
        <w:t>the</w:t>
      </w:r>
      <w:r>
        <w:rPr>
          <w:spacing w:val="-6"/>
        </w:rPr>
        <w:t> </w:t>
      </w:r>
      <w:r>
        <w:rPr/>
        <w:t>UN</w:t>
      </w:r>
      <w:r>
        <w:rPr>
          <w:spacing w:val="-6"/>
        </w:rPr>
        <w:t> </w:t>
      </w:r>
      <w:r>
        <w:rPr/>
        <w:t>Working</w:t>
      </w:r>
      <w:r>
        <w:rPr>
          <w:spacing w:val="-6"/>
        </w:rPr>
        <w:t> </w:t>
      </w:r>
      <w:r>
        <w:rPr/>
        <w:t>Group</w:t>
      </w:r>
      <w:r>
        <w:rPr>
          <w:spacing w:val="-5"/>
        </w:rPr>
        <w:t> </w:t>
      </w:r>
      <w:r>
        <w:rPr/>
        <w:t>adopt</w:t>
      </w:r>
      <w:r>
        <w:rPr>
          <w:spacing w:val="-1"/>
        </w:rPr>
        <w:t> </w:t>
      </w:r>
      <w:r>
        <w:rPr/>
        <w:t>a rights-affirming approach that recognises the importance of decriminalisation, applies a labour framework to sex work, and recognises sex workers as equal holders of all human rights with corresponding State obligations. We urge the UN Working Group to recognise that sex workers are a marginalised group whose voices are more often than not excluded in international human rights standard-setting processes, including on issues affecting their rights. Where sex workers do</w:t>
      </w:r>
      <w:r>
        <w:rPr>
          <w:spacing w:val="-7"/>
        </w:rPr>
        <w:t> </w:t>
      </w:r>
      <w:r>
        <w:rPr/>
        <w:t>have</w:t>
      </w:r>
      <w:r>
        <w:rPr>
          <w:spacing w:val="-5"/>
        </w:rPr>
        <w:t> </w:t>
      </w:r>
      <w:r>
        <w:rPr/>
        <w:t>access</w:t>
      </w:r>
      <w:r>
        <w:rPr>
          <w:spacing w:val="-7"/>
        </w:rPr>
        <w:t> </w:t>
      </w:r>
      <w:r>
        <w:rPr/>
        <w:t>to</w:t>
      </w:r>
      <w:r>
        <w:rPr>
          <w:spacing w:val="-6"/>
        </w:rPr>
        <w:t> </w:t>
      </w:r>
      <w:r>
        <w:rPr/>
        <w:t>such</w:t>
      </w:r>
      <w:r>
        <w:rPr>
          <w:spacing w:val="-8"/>
        </w:rPr>
        <w:t> </w:t>
      </w:r>
      <w:r>
        <w:rPr/>
        <w:t>processes,</w:t>
      </w:r>
      <w:r>
        <w:rPr>
          <w:spacing w:val="-7"/>
        </w:rPr>
        <w:t> </w:t>
      </w:r>
      <w:r>
        <w:rPr/>
        <w:t>their</w:t>
      </w:r>
      <w:r>
        <w:rPr>
          <w:spacing w:val="-4"/>
        </w:rPr>
        <w:t> </w:t>
      </w:r>
      <w:r>
        <w:rPr/>
        <w:t>voices</w:t>
      </w:r>
      <w:r>
        <w:rPr>
          <w:spacing w:val="-8"/>
        </w:rPr>
        <w:t> </w:t>
      </w:r>
      <w:r>
        <w:rPr/>
        <w:t>are</w:t>
      </w:r>
      <w:r>
        <w:rPr>
          <w:spacing w:val="-6"/>
        </w:rPr>
        <w:t> </w:t>
      </w:r>
      <w:r>
        <w:rPr/>
        <w:t>either</w:t>
      </w:r>
      <w:r>
        <w:rPr>
          <w:spacing w:val="-4"/>
        </w:rPr>
        <w:t> </w:t>
      </w:r>
      <w:r>
        <w:rPr/>
        <w:t>ignored</w:t>
      </w:r>
      <w:r>
        <w:rPr>
          <w:spacing w:val="-8"/>
        </w:rPr>
        <w:t> </w:t>
      </w:r>
      <w:r>
        <w:rPr/>
        <w:t>or</w:t>
      </w:r>
      <w:r>
        <w:rPr>
          <w:spacing w:val="-7"/>
        </w:rPr>
        <w:t> </w:t>
      </w:r>
      <w:r>
        <w:rPr/>
        <w:t>silenced.</w:t>
      </w:r>
      <w:r>
        <w:rPr>
          <w:spacing w:val="-5"/>
        </w:rPr>
        <w:t> </w:t>
      </w:r>
      <w:r>
        <w:rPr/>
        <w:t>Consequently,</w:t>
      </w:r>
      <w:r>
        <w:rPr>
          <w:spacing w:val="-6"/>
        </w:rPr>
        <w:t> </w:t>
      </w:r>
      <w:r>
        <w:rPr/>
        <w:t>it</w:t>
      </w:r>
      <w:r>
        <w:rPr>
          <w:spacing w:val="-4"/>
        </w:rPr>
        <w:t> </w:t>
      </w:r>
      <w:r>
        <w:rPr/>
        <w:t>is imperative that the UN Working Group meaningfully engage with people who are currently engaged in sex work as it considers the application of the UNGPs and its Gender Guidance to this</w:t>
      </w:r>
      <w:r>
        <w:rPr>
          <w:spacing w:val="1"/>
        </w:rPr>
        <w:t> </w:t>
      </w:r>
      <w:r>
        <w:rPr/>
        <w:t>area.</w:t>
      </w:r>
    </w:p>
    <w:p>
      <w:pPr>
        <w:pStyle w:val="BodyText"/>
        <w:spacing w:before="4"/>
        <w:rPr>
          <w:sz w:val="25"/>
        </w:rPr>
      </w:pPr>
    </w:p>
    <w:p>
      <w:pPr>
        <w:spacing w:line="276" w:lineRule="auto" w:before="0"/>
        <w:ind w:left="100" w:right="112" w:firstLine="0"/>
        <w:jc w:val="both"/>
        <w:rPr>
          <w:sz w:val="22"/>
        </w:rPr>
      </w:pPr>
      <w:r>
        <w:rPr>
          <w:sz w:val="22"/>
        </w:rPr>
        <w:t>We welcome the stance of the UN Working Group which recognises in its </w:t>
      </w:r>
      <w:hyperlink r:id="rId9">
        <w:r>
          <w:rPr>
            <w:color w:val="1154CC"/>
            <w:sz w:val="22"/>
            <w:u w:val="single" w:color="1154CC"/>
          </w:rPr>
          <w:t>background note</w:t>
        </w:r>
        <w:r>
          <w:rPr>
            <w:color w:val="1154CC"/>
            <w:sz w:val="22"/>
          </w:rPr>
          <w:t> </w:t>
        </w:r>
      </w:hyperlink>
      <w:r>
        <w:rPr>
          <w:sz w:val="22"/>
        </w:rPr>
        <w:t>that “</w:t>
      </w:r>
      <w:r>
        <w:rPr>
          <w:i/>
          <w:sz w:val="22"/>
        </w:rPr>
        <w:t>the</w:t>
      </w:r>
      <w:r>
        <w:rPr>
          <w:i/>
          <w:spacing w:val="-12"/>
          <w:sz w:val="22"/>
        </w:rPr>
        <w:t> </w:t>
      </w:r>
      <w:r>
        <w:rPr>
          <w:i/>
          <w:sz w:val="22"/>
        </w:rPr>
        <w:t>role</w:t>
      </w:r>
      <w:r>
        <w:rPr>
          <w:i/>
          <w:spacing w:val="-8"/>
          <w:sz w:val="22"/>
        </w:rPr>
        <w:t> </w:t>
      </w:r>
      <w:r>
        <w:rPr>
          <w:i/>
          <w:sz w:val="22"/>
        </w:rPr>
        <w:t>of</w:t>
      </w:r>
      <w:r>
        <w:rPr>
          <w:i/>
          <w:spacing w:val="-9"/>
          <w:sz w:val="22"/>
        </w:rPr>
        <w:t> </w:t>
      </w:r>
      <w:r>
        <w:rPr>
          <w:i/>
          <w:sz w:val="22"/>
        </w:rPr>
        <w:t>the</w:t>
      </w:r>
      <w:r>
        <w:rPr>
          <w:i/>
          <w:spacing w:val="-8"/>
          <w:sz w:val="22"/>
        </w:rPr>
        <w:t> </w:t>
      </w:r>
      <w:r>
        <w:rPr>
          <w:i/>
          <w:sz w:val="22"/>
        </w:rPr>
        <w:t>State</w:t>
      </w:r>
      <w:r>
        <w:rPr>
          <w:i/>
          <w:spacing w:val="-8"/>
          <w:sz w:val="22"/>
        </w:rPr>
        <w:t> </w:t>
      </w:r>
      <w:r>
        <w:rPr>
          <w:i/>
          <w:sz w:val="22"/>
        </w:rPr>
        <w:t>in</w:t>
      </w:r>
      <w:r>
        <w:rPr>
          <w:i/>
          <w:spacing w:val="-8"/>
          <w:sz w:val="22"/>
        </w:rPr>
        <w:t> </w:t>
      </w:r>
      <w:r>
        <w:rPr>
          <w:i/>
          <w:sz w:val="22"/>
        </w:rPr>
        <w:t>protecting</w:t>
      </w:r>
      <w:r>
        <w:rPr>
          <w:i/>
          <w:spacing w:val="-9"/>
          <w:sz w:val="22"/>
        </w:rPr>
        <w:t> </w:t>
      </w:r>
      <w:r>
        <w:rPr>
          <w:i/>
          <w:sz w:val="22"/>
        </w:rPr>
        <w:t>vulnerable</w:t>
      </w:r>
      <w:r>
        <w:rPr>
          <w:i/>
          <w:spacing w:val="-8"/>
          <w:sz w:val="22"/>
        </w:rPr>
        <w:t> </w:t>
      </w:r>
      <w:r>
        <w:rPr>
          <w:i/>
          <w:sz w:val="22"/>
        </w:rPr>
        <w:t>workers</w:t>
      </w:r>
      <w:r>
        <w:rPr>
          <w:i/>
          <w:spacing w:val="-7"/>
          <w:sz w:val="22"/>
        </w:rPr>
        <w:t> </w:t>
      </w:r>
      <w:r>
        <w:rPr>
          <w:i/>
          <w:sz w:val="22"/>
        </w:rPr>
        <w:t>and</w:t>
      </w:r>
      <w:r>
        <w:rPr>
          <w:i/>
          <w:spacing w:val="-8"/>
          <w:sz w:val="22"/>
        </w:rPr>
        <w:t> </w:t>
      </w:r>
      <w:r>
        <w:rPr>
          <w:i/>
          <w:sz w:val="22"/>
        </w:rPr>
        <w:t>other</w:t>
      </w:r>
      <w:r>
        <w:rPr>
          <w:i/>
          <w:spacing w:val="-9"/>
          <w:sz w:val="22"/>
        </w:rPr>
        <w:t> </w:t>
      </w:r>
      <w:r>
        <w:rPr>
          <w:i/>
          <w:sz w:val="22"/>
        </w:rPr>
        <w:t>rights-holders</w:t>
      </w:r>
      <w:r>
        <w:rPr>
          <w:i/>
          <w:spacing w:val="-7"/>
          <w:sz w:val="22"/>
        </w:rPr>
        <w:t> </w:t>
      </w:r>
      <w:r>
        <w:rPr>
          <w:i/>
          <w:sz w:val="22"/>
        </w:rPr>
        <w:t>negatively</w:t>
      </w:r>
      <w:r>
        <w:rPr>
          <w:i/>
          <w:spacing w:val="-8"/>
          <w:sz w:val="22"/>
        </w:rPr>
        <w:t> </w:t>
      </w:r>
      <w:r>
        <w:rPr>
          <w:i/>
          <w:sz w:val="22"/>
        </w:rPr>
        <w:t>affected </w:t>
      </w:r>
      <w:r>
        <w:rPr>
          <w:i/>
          <w:sz w:val="22"/>
        </w:rPr>
        <w:t>by economic forces is critical and irreplaceable”</w:t>
      </w:r>
      <w:r>
        <w:rPr>
          <w:sz w:val="22"/>
        </w:rPr>
        <w:t>, particularly in the context of the COVID-19 pandemic. We ask the UN Working Group to ensure that sex workers are included within this rights-affirming framework as it moves forward with its UNGPs10+ project. We further draw its attention to the following specific issues as it develops its vision and roadmap for the decade ahead:</w:t>
      </w:r>
    </w:p>
    <w:p>
      <w:pPr>
        <w:pStyle w:val="BodyText"/>
        <w:spacing w:before="3"/>
        <w:rPr>
          <w:sz w:val="25"/>
        </w:rPr>
      </w:pPr>
    </w:p>
    <w:p>
      <w:pPr>
        <w:pStyle w:val="ListParagraph"/>
        <w:numPr>
          <w:ilvl w:val="0"/>
          <w:numId w:val="1"/>
        </w:numPr>
        <w:tabs>
          <w:tab w:pos="821" w:val="left" w:leader="none"/>
          <w:tab w:pos="1588" w:val="left" w:leader="none"/>
          <w:tab w:pos="2713" w:val="left" w:leader="none"/>
          <w:tab w:pos="3284" w:val="left" w:leader="none"/>
          <w:tab w:pos="3845" w:val="left" w:leader="none"/>
          <w:tab w:pos="4356" w:val="left" w:leader="none"/>
          <w:tab w:pos="5037" w:val="left" w:leader="none"/>
          <w:tab w:pos="6702" w:val="left" w:leader="none"/>
          <w:tab w:pos="7554" w:val="left" w:leader="none"/>
          <w:tab w:pos="8003" w:val="left" w:leader="none"/>
          <w:tab w:pos="8552" w:val="left" w:leader="none"/>
        </w:tabs>
        <w:spacing w:line="278" w:lineRule="auto" w:before="0" w:after="0"/>
        <w:ind w:left="820" w:right="113" w:hanging="360"/>
        <w:jc w:val="left"/>
        <w:rPr>
          <w:sz w:val="22"/>
        </w:rPr>
      </w:pPr>
      <w:r>
        <w:rPr>
          <w:b/>
          <w:sz w:val="22"/>
        </w:rPr>
        <w:t>Importance of the decriminalisation of sex work</w:t>
      </w:r>
      <w:r>
        <w:rPr>
          <w:sz w:val="22"/>
        </w:rPr>
        <w:t>: Decriminalisation of sex work is the policy</w:t>
        <w:tab/>
        <w:t>approach</w:t>
        <w:tab/>
        <w:t>that</w:t>
        <w:tab/>
        <w:t>has</w:t>
        <w:tab/>
        <w:t>the</w:t>
        <w:tab/>
        <w:t>most</w:t>
        <w:tab/>
        <w:t>rights-affirming</w:t>
        <w:tab/>
        <w:t>impact</w:t>
        <w:tab/>
        <w:t>on</w:t>
        <w:tab/>
        <w:t>sex</w:t>
        <w:tab/>
      </w:r>
      <w:r>
        <w:rPr>
          <w:spacing w:val="-3"/>
          <w:sz w:val="22"/>
        </w:rPr>
        <w:t>workers.</w:t>
      </w:r>
      <w:r>
        <w:rPr>
          <w:spacing w:val="-3"/>
          <w:sz w:val="22"/>
          <w:vertAlign w:val="superscript"/>
        </w:rPr>
        <w:t>1</w:t>
      </w:r>
    </w:p>
    <w:p>
      <w:pPr>
        <w:pStyle w:val="BodyText"/>
        <w:spacing w:before="7"/>
        <w:rPr>
          <w:sz w:val="28"/>
        </w:rPr>
      </w:pPr>
      <w:r>
        <w:rPr/>
        <w:pict>
          <v:rect style="position:absolute;margin-left:72.024002pt;margin-top:18.412764pt;width:144.020pt;height:.60004pt;mso-position-horizontal-relative:page;mso-position-vertical-relative:paragraph;z-index:-15728128;mso-wrap-distance-left:0;mso-wrap-distance-right:0" filled="true" fillcolor="#000000" stroked="false">
            <v:fill type="solid"/>
            <w10:wrap type="topAndBottom"/>
          </v:rect>
        </w:pict>
      </w:r>
    </w:p>
    <w:p>
      <w:pPr>
        <w:pStyle w:val="ListParagraph"/>
        <w:numPr>
          <w:ilvl w:val="0"/>
          <w:numId w:val="2"/>
        </w:numPr>
        <w:tabs>
          <w:tab w:pos="233" w:val="left" w:leader="none"/>
        </w:tabs>
        <w:spacing w:line="244" w:lineRule="auto" w:before="57" w:after="0"/>
        <w:ind w:left="100" w:right="629" w:firstLine="0"/>
        <w:jc w:val="both"/>
        <w:rPr>
          <w:sz w:val="18"/>
        </w:rPr>
      </w:pPr>
      <w:r>
        <w:rPr>
          <w:sz w:val="18"/>
        </w:rPr>
        <w:t>Global Network of Sex Work Projects, The Impact of Criminalisation on Sex Workers’ Vulnerability to HIV and Violence, December 2017. Available at: https:/</w:t>
      </w:r>
      <w:hyperlink r:id="rId10">
        <w:r>
          <w:rPr>
            <w:sz w:val="18"/>
          </w:rPr>
          <w:t>/www.n</w:t>
        </w:r>
      </w:hyperlink>
      <w:r>
        <w:rPr>
          <w:sz w:val="18"/>
        </w:rPr>
        <w:t>s</w:t>
      </w:r>
      <w:hyperlink r:id="rId10">
        <w:r>
          <w:rPr>
            <w:sz w:val="18"/>
          </w:rPr>
          <w:t>wp.org/resource/the-impact-criminalisation-sex-workers-</w:t>
        </w:r>
      </w:hyperlink>
      <w:r>
        <w:rPr>
          <w:sz w:val="18"/>
        </w:rPr>
        <w:t> vulnerability-hiv-and-violence</w:t>
      </w:r>
    </w:p>
    <w:p>
      <w:pPr>
        <w:spacing w:after="0" w:line="244" w:lineRule="auto"/>
        <w:jc w:val="both"/>
        <w:rPr>
          <w:sz w:val="18"/>
        </w:rPr>
        <w:sectPr>
          <w:footerReference w:type="default" r:id="rId5"/>
          <w:type w:val="continuous"/>
          <w:pgSz w:w="12240" w:h="15840"/>
          <w:pgMar w:footer="801" w:top="1460" w:bottom="1000" w:left="1340" w:right="1320"/>
          <w:pgNumType w:start="1"/>
        </w:sectPr>
      </w:pPr>
    </w:p>
    <w:p>
      <w:pPr>
        <w:pStyle w:val="BodyText"/>
        <w:spacing w:line="276" w:lineRule="auto" w:before="80"/>
        <w:ind w:left="820" w:right="114"/>
        <w:jc w:val="both"/>
      </w:pPr>
      <w:r>
        <w:rPr/>
        <w:t>Decriminalisation</w:t>
      </w:r>
      <w:r>
        <w:rPr>
          <w:spacing w:val="-13"/>
        </w:rPr>
        <w:t> </w:t>
      </w:r>
      <w:r>
        <w:rPr/>
        <w:t>means</w:t>
      </w:r>
      <w:r>
        <w:rPr>
          <w:spacing w:val="-16"/>
        </w:rPr>
        <w:t> </w:t>
      </w:r>
      <w:r>
        <w:rPr/>
        <w:t>the</w:t>
      </w:r>
      <w:r>
        <w:rPr>
          <w:spacing w:val="-16"/>
        </w:rPr>
        <w:t> </w:t>
      </w:r>
      <w:r>
        <w:rPr/>
        <w:t>removal</w:t>
      </w:r>
      <w:r>
        <w:rPr>
          <w:spacing w:val="-14"/>
        </w:rPr>
        <w:t> </w:t>
      </w:r>
      <w:r>
        <w:rPr/>
        <w:t>of</w:t>
      </w:r>
      <w:r>
        <w:rPr>
          <w:spacing w:val="-12"/>
        </w:rPr>
        <w:t> </w:t>
      </w:r>
      <w:r>
        <w:rPr/>
        <w:t>all</w:t>
      </w:r>
      <w:r>
        <w:rPr>
          <w:spacing w:val="-14"/>
        </w:rPr>
        <w:t> </w:t>
      </w:r>
      <w:r>
        <w:rPr/>
        <w:t>laws</w:t>
      </w:r>
      <w:r>
        <w:rPr>
          <w:spacing w:val="-16"/>
        </w:rPr>
        <w:t> </w:t>
      </w:r>
      <w:r>
        <w:rPr/>
        <w:t>and</w:t>
      </w:r>
      <w:r>
        <w:rPr>
          <w:spacing w:val="-13"/>
        </w:rPr>
        <w:t> </w:t>
      </w:r>
      <w:r>
        <w:rPr/>
        <w:t>policies</w:t>
      </w:r>
      <w:r>
        <w:rPr>
          <w:spacing w:val="-12"/>
        </w:rPr>
        <w:t> </w:t>
      </w:r>
      <w:r>
        <w:rPr/>
        <w:t>that</w:t>
      </w:r>
      <w:r>
        <w:rPr>
          <w:spacing w:val="-15"/>
        </w:rPr>
        <w:t> </w:t>
      </w:r>
      <w:r>
        <w:rPr/>
        <w:t>make</w:t>
      </w:r>
      <w:r>
        <w:rPr>
          <w:spacing w:val="-16"/>
        </w:rPr>
        <w:t> </w:t>
      </w:r>
      <w:r>
        <w:rPr/>
        <w:t>sex</w:t>
      </w:r>
      <w:r>
        <w:rPr>
          <w:spacing w:val="-15"/>
        </w:rPr>
        <w:t> </w:t>
      </w:r>
      <w:r>
        <w:rPr/>
        <w:t>work</w:t>
      </w:r>
      <w:r>
        <w:rPr>
          <w:spacing w:val="-13"/>
        </w:rPr>
        <w:t> </w:t>
      </w:r>
      <w:r>
        <w:rPr/>
        <w:t>a</w:t>
      </w:r>
      <w:r>
        <w:rPr>
          <w:spacing w:val="-16"/>
        </w:rPr>
        <w:t> </w:t>
      </w:r>
      <w:r>
        <w:rPr/>
        <w:t>criminal offence</w:t>
      </w:r>
      <w:r>
        <w:rPr>
          <w:spacing w:val="-12"/>
        </w:rPr>
        <w:t> </w:t>
      </w:r>
      <w:r>
        <w:rPr/>
        <w:t>or</w:t>
      </w:r>
      <w:r>
        <w:rPr>
          <w:spacing w:val="-10"/>
        </w:rPr>
        <w:t> </w:t>
      </w:r>
      <w:r>
        <w:rPr/>
        <w:t>regulatory</w:t>
      </w:r>
      <w:r>
        <w:rPr>
          <w:spacing w:val="-11"/>
        </w:rPr>
        <w:t> </w:t>
      </w:r>
      <w:r>
        <w:rPr/>
        <w:t>or</w:t>
      </w:r>
      <w:r>
        <w:rPr>
          <w:spacing w:val="-12"/>
        </w:rPr>
        <w:t> </w:t>
      </w:r>
      <w:r>
        <w:rPr/>
        <w:t>misdemeanor</w:t>
      </w:r>
      <w:r>
        <w:rPr>
          <w:spacing w:val="-10"/>
        </w:rPr>
        <w:t> </w:t>
      </w:r>
      <w:r>
        <w:rPr/>
        <w:t>offence</w:t>
      </w:r>
      <w:r>
        <w:rPr>
          <w:spacing w:val="-11"/>
        </w:rPr>
        <w:t> </w:t>
      </w:r>
      <w:r>
        <w:rPr/>
        <w:t>(such</w:t>
      </w:r>
      <w:r>
        <w:rPr>
          <w:spacing w:val="-9"/>
        </w:rPr>
        <w:t> </w:t>
      </w:r>
      <w:r>
        <w:rPr/>
        <w:t>as</w:t>
      </w:r>
      <w:r>
        <w:rPr>
          <w:spacing w:val="-14"/>
        </w:rPr>
        <w:t> </w:t>
      </w:r>
      <w:r>
        <w:rPr/>
        <w:t>those</w:t>
      </w:r>
      <w:r>
        <w:rPr>
          <w:spacing w:val="-11"/>
        </w:rPr>
        <w:t> </w:t>
      </w:r>
      <w:r>
        <w:rPr/>
        <w:t>prohibiting</w:t>
      </w:r>
      <w:r>
        <w:rPr>
          <w:spacing w:val="-12"/>
        </w:rPr>
        <w:t> </w:t>
      </w:r>
      <w:r>
        <w:rPr/>
        <w:t>selling,</w:t>
      </w:r>
      <w:r>
        <w:rPr>
          <w:spacing w:val="-8"/>
        </w:rPr>
        <w:t> </w:t>
      </w:r>
      <w:r>
        <w:rPr/>
        <w:t>soliciting, manifesting, buying or facilitating sex work or living off its proceeds).</w:t>
      </w:r>
      <w:r>
        <w:rPr>
          <w:vertAlign w:val="superscript"/>
        </w:rPr>
        <w:t>2</w:t>
      </w:r>
      <w:r>
        <w:rPr>
          <w:vertAlign w:val="baseline"/>
        </w:rPr>
        <w:t> Criminalisation increases sex workers’ vulnerability to violence and HIV and severely inhibits the health and wellbeing of sex workers globally. Even before arrest, the common knowledge that sex</w:t>
      </w:r>
      <w:r>
        <w:rPr>
          <w:spacing w:val="-6"/>
          <w:vertAlign w:val="baseline"/>
        </w:rPr>
        <w:t> </w:t>
      </w:r>
      <w:r>
        <w:rPr>
          <w:vertAlign w:val="baseline"/>
        </w:rPr>
        <w:t>workers</w:t>
      </w:r>
      <w:r>
        <w:rPr>
          <w:spacing w:val="-5"/>
          <w:vertAlign w:val="baseline"/>
        </w:rPr>
        <w:t> </w:t>
      </w:r>
      <w:r>
        <w:rPr>
          <w:vertAlign w:val="baseline"/>
        </w:rPr>
        <w:t>are</w:t>
      </w:r>
      <w:r>
        <w:rPr>
          <w:spacing w:val="-5"/>
          <w:vertAlign w:val="baseline"/>
        </w:rPr>
        <w:t> </w:t>
      </w:r>
      <w:r>
        <w:rPr>
          <w:vertAlign w:val="baseline"/>
        </w:rPr>
        <w:t>unlikely</w:t>
      </w:r>
      <w:r>
        <w:rPr>
          <w:spacing w:val="-5"/>
          <w:vertAlign w:val="baseline"/>
        </w:rPr>
        <w:t> </w:t>
      </w:r>
      <w:r>
        <w:rPr>
          <w:vertAlign w:val="baseline"/>
        </w:rPr>
        <w:t>to</w:t>
      </w:r>
      <w:r>
        <w:rPr>
          <w:spacing w:val="-5"/>
          <w:vertAlign w:val="baseline"/>
        </w:rPr>
        <w:t> </w:t>
      </w:r>
      <w:r>
        <w:rPr>
          <w:vertAlign w:val="baseline"/>
        </w:rPr>
        <w:t>report</w:t>
      </w:r>
      <w:r>
        <w:rPr>
          <w:spacing w:val="-4"/>
          <w:vertAlign w:val="baseline"/>
        </w:rPr>
        <w:t> </w:t>
      </w:r>
      <w:r>
        <w:rPr>
          <w:vertAlign w:val="baseline"/>
        </w:rPr>
        <w:t>violence,</w:t>
      </w:r>
      <w:r>
        <w:rPr>
          <w:spacing w:val="-7"/>
          <w:vertAlign w:val="baseline"/>
        </w:rPr>
        <w:t> </w:t>
      </w:r>
      <w:r>
        <w:rPr>
          <w:vertAlign w:val="baseline"/>
        </w:rPr>
        <w:t>or</w:t>
      </w:r>
      <w:r>
        <w:rPr>
          <w:spacing w:val="-7"/>
          <w:vertAlign w:val="baseline"/>
        </w:rPr>
        <w:t> </w:t>
      </w:r>
      <w:r>
        <w:rPr>
          <w:vertAlign w:val="baseline"/>
        </w:rPr>
        <w:t>to</w:t>
      </w:r>
      <w:r>
        <w:rPr>
          <w:spacing w:val="-8"/>
          <w:vertAlign w:val="baseline"/>
        </w:rPr>
        <w:t> </w:t>
      </w:r>
      <w:r>
        <w:rPr>
          <w:vertAlign w:val="baseline"/>
        </w:rPr>
        <w:t>be</w:t>
      </w:r>
      <w:r>
        <w:rPr>
          <w:spacing w:val="-5"/>
          <w:vertAlign w:val="baseline"/>
        </w:rPr>
        <w:t> </w:t>
      </w:r>
      <w:r>
        <w:rPr>
          <w:vertAlign w:val="baseline"/>
        </w:rPr>
        <w:t>taken</w:t>
      </w:r>
      <w:r>
        <w:rPr>
          <w:spacing w:val="-8"/>
          <w:vertAlign w:val="baseline"/>
        </w:rPr>
        <w:t> </w:t>
      </w:r>
      <w:r>
        <w:rPr>
          <w:vertAlign w:val="baseline"/>
        </w:rPr>
        <w:t>seriously</w:t>
      </w:r>
      <w:r>
        <w:rPr>
          <w:spacing w:val="-5"/>
          <w:vertAlign w:val="baseline"/>
        </w:rPr>
        <w:t> </w:t>
      </w:r>
      <w:r>
        <w:rPr>
          <w:vertAlign w:val="baseline"/>
        </w:rPr>
        <w:t>when</w:t>
      </w:r>
      <w:r>
        <w:rPr>
          <w:spacing w:val="-8"/>
          <w:vertAlign w:val="baseline"/>
        </w:rPr>
        <w:t> </w:t>
      </w:r>
      <w:r>
        <w:rPr>
          <w:vertAlign w:val="baseline"/>
        </w:rPr>
        <w:t>they</w:t>
      </w:r>
      <w:r>
        <w:rPr>
          <w:spacing w:val="-5"/>
          <w:vertAlign w:val="baseline"/>
        </w:rPr>
        <w:t> </w:t>
      </w:r>
      <w:r>
        <w:rPr>
          <w:vertAlign w:val="baseline"/>
        </w:rPr>
        <w:t>do,</w:t>
      </w:r>
      <w:r>
        <w:rPr>
          <w:spacing w:val="-6"/>
          <w:vertAlign w:val="baseline"/>
        </w:rPr>
        <w:t> </w:t>
      </w:r>
      <w:r>
        <w:rPr>
          <w:vertAlign w:val="baseline"/>
        </w:rPr>
        <w:t>creates a</w:t>
      </w:r>
      <w:r>
        <w:rPr>
          <w:spacing w:val="-7"/>
          <w:vertAlign w:val="baseline"/>
        </w:rPr>
        <w:t> </w:t>
      </w:r>
      <w:r>
        <w:rPr>
          <w:vertAlign w:val="baseline"/>
        </w:rPr>
        <w:t>culture</w:t>
      </w:r>
      <w:r>
        <w:rPr>
          <w:spacing w:val="-6"/>
          <w:vertAlign w:val="baseline"/>
        </w:rPr>
        <w:t> </w:t>
      </w:r>
      <w:r>
        <w:rPr>
          <w:vertAlign w:val="baseline"/>
        </w:rPr>
        <w:t>of</w:t>
      </w:r>
      <w:r>
        <w:rPr>
          <w:spacing w:val="-6"/>
          <w:vertAlign w:val="baseline"/>
        </w:rPr>
        <w:t> </w:t>
      </w:r>
      <w:r>
        <w:rPr>
          <w:vertAlign w:val="baseline"/>
        </w:rPr>
        <w:t>impunity</w:t>
      </w:r>
      <w:r>
        <w:rPr>
          <w:spacing w:val="-8"/>
          <w:vertAlign w:val="baseline"/>
        </w:rPr>
        <w:t> </w:t>
      </w:r>
      <w:r>
        <w:rPr>
          <w:vertAlign w:val="baseline"/>
        </w:rPr>
        <w:t>for</w:t>
      </w:r>
      <w:r>
        <w:rPr>
          <w:spacing w:val="-5"/>
          <w:vertAlign w:val="baseline"/>
        </w:rPr>
        <w:t> </w:t>
      </w:r>
      <w:r>
        <w:rPr>
          <w:vertAlign w:val="baseline"/>
        </w:rPr>
        <w:t>law</w:t>
      </w:r>
      <w:r>
        <w:rPr>
          <w:spacing w:val="-8"/>
          <w:vertAlign w:val="baseline"/>
        </w:rPr>
        <w:t> </w:t>
      </w:r>
      <w:r>
        <w:rPr>
          <w:vertAlign w:val="baseline"/>
        </w:rPr>
        <w:t>enforcement</w:t>
      </w:r>
      <w:r>
        <w:rPr>
          <w:spacing w:val="-7"/>
          <w:vertAlign w:val="baseline"/>
        </w:rPr>
        <w:t> </w:t>
      </w:r>
      <w:r>
        <w:rPr>
          <w:vertAlign w:val="baseline"/>
        </w:rPr>
        <w:t>and</w:t>
      </w:r>
      <w:r>
        <w:rPr>
          <w:spacing w:val="-6"/>
          <w:vertAlign w:val="baseline"/>
        </w:rPr>
        <w:t> </w:t>
      </w:r>
      <w:r>
        <w:rPr>
          <w:vertAlign w:val="baseline"/>
        </w:rPr>
        <w:t>civilians</w:t>
      </w:r>
      <w:r>
        <w:rPr>
          <w:spacing w:val="-7"/>
          <w:vertAlign w:val="baseline"/>
        </w:rPr>
        <w:t> </w:t>
      </w:r>
      <w:r>
        <w:rPr>
          <w:vertAlign w:val="baseline"/>
        </w:rPr>
        <w:t>alike.</w:t>
      </w:r>
      <w:r>
        <w:rPr>
          <w:spacing w:val="-5"/>
          <w:vertAlign w:val="baseline"/>
        </w:rPr>
        <w:t> </w:t>
      </w:r>
      <w:r>
        <w:rPr>
          <w:vertAlign w:val="baseline"/>
        </w:rPr>
        <w:t>Decriminalisation</w:t>
      </w:r>
      <w:r>
        <w:rPr>
          <w:spacing w:val="-6"/>
          <w:vertAlign w:val="baseline"/>
        </w:rPr>
        <w:t> </w:t>
      </w:r>
      <w:r>
        <w:rPr>
          <w:vertAlign w:val="baseline"/>
        </w:rPr>
        <w:t>of</w:t>
      </w:r>
      <w:r>
        <w:rPr>
          <w:spacing w:val="-9"/>
          <w:vertAlign w:val="baseline"/>
        </w:rPr>
        <w:t> </w:t>
      </w:r>
      <w:r>
        <w:rPr>
          <w:vertAlign w:val="baseline"/>
        </w:rPr>
        <w:t>sex</w:t>
      </w:r>
      <w:r>
        <w:rPr>
          <w:spacing w:val="-9"/>
          <w:vertAlign w:val="baseline"/>
        </w:rPr>
        <w:t> </w:t>
      </w:r>
      <w:r>
        <w:rPr>
          <w:vertAlign w:val="baseline"/>
        </w:rPr>
        <w:t>work would</w:t>
      </w:r>
      <w:r>
        <w:rPr>
          <w:spacing w:val="-10"/>
          <w:vertAlign w:val="baseline"/>
        </w:rPr>
        <w:t> </w:t>
      </w:r>
      <w:r>
        <w:rPr>
          <w:vertAlign w:val="baseline"/>
        </w:rPr>
        <w:t>have</w:t>
      </w:r>
      <w:r>
        <w:rPr>
          <w:spacing w:val="-10"/>
          <w:vertAlign w:val="baseline"/>
        </w:rPr>
        <w:t> </w:t>
      </w:r>
      <w:r>
        <w:rPr>
          <w:vertAlign w:val="baseline"/>
        </w:rPr>
        <w:t>the</w:t>
      </w:r>
      <w:r>
        <w:rPr>
          <w:spacing w:val="-11"/>
          <w:vertAlign w:val="baseline"/>
        </w:rPr>
        <w:t> </w:t>
      </w:r>
      <w:r>
        <w:rPr>
          <w:vertAlign w:val="baseline"/>
        </w:rPr>
        <w:t>greatest</w:t>
      </w:r>
      <w:r>
        <w:rPr>
          <w:spacing w:val="-11"/>
          <w:vertAlign w:val="baseline"/>
        </w:rPr>
        <w:t> </w:t>
      </w:r>
      <w:r>
        <w:rPr>
          <w:vertAlign w:val="baseline"/>
        </w:rPr>
        <w:t>effect</w:t>
      </w:r>
      <w:r>
        <w:rPr>
          <w:spacing w:val="-9"/>
          <w:vertAlign w:val="baseline"/>
        </w:rPr>
        <w:t> </w:t>
      </w:r>
      <w:r>
        <w:rPr>
          <w:vertAlign w:val="baseline"/>
        </w:rPr>
        <w:t>on</w:t>
      </w:r>
      <w:r>
        <w:rPr>
          <w:spacing w:val="-13"/>
          <w:vertAlign w:val="baseline"/>
        </w:rPr>
        <w:t> </w:t>
      </w:r>
      <w:r>
        <w:rPr>
          <w:vertAlign w:val="baseline"/>
        </w:rPr>
        <w:t>the</w:t>
      </w:r>
      <w:r>
        <w:rPr>
          <w:spacing w:val="-13"/>
          <w:vertAlign w:val="baseline"/>
        </w:rPr>
        <w:t> </w:t>
      </w:r>
      <w:r>
        <w:rPr>
          <w:vertAlign w:val="baseline"/>
        </w:rPr>
        <w:t>course</w:t>
      </w:r>
      <w:r>
        <w:rPr>
          <w:spacing w:val="-13"/>
          <w:vertAlign w:val="baseline"/>
        </w:rPr>
        <w:t> </w:t>
      </w:r>
      <w:r>
        <w:rPr>
          <w:vertAlign w:val="baseline"/>
        </w:rPr>
        <w:t>of</w:t>
      </w:r>
      <w:r>
        <w:rPr>
          <w:spacing w:val="-9"/>
          <w:vertAlign w:val="baseline"/>
        </w:rPr>
        <w:t> </w:t>
      </w:r>
      <w:r>
        <w:rPr>
          <w:vertAlign w:val="baseline"/>
        </w:rPr>
        <w:t>HIV</w:t>
      </w:r>
      <w:r>
        <w:rPr>
          <w:spacing w:val="-11"/>
          <w:vertAlign w:val="baseline"/>
        </w:rPr>
        <w:t> </w:t>
      </w:r>
      <w:r>
        <w:rPr>
          <w:vertAlign w:val="baseline"/>
        </w:rPr>
        <w:t>epidemics</w:t>
      </w:r>
      <w:r>
        <w:rPr>
          <w:spacing w:val="-10"/>
          <w:vertAlign w:val="baseline"/>
        </w:rPr>
        <w:t> </w:t>
      </w:r>
      <w:r>
        <w:rPr>
          <w:vertAlign w:val="baseline"/>
        </w:rPr>
        <w:t>across</w:t>
      </w:r>
      <w:r>
        <w:rPr>
          <w:spacing w:val="-9"/>
          <w:vertAlign w:val="baseline"/>
        </w:rPr>
        <w:t> </w:t>
      </w:r>
      <w:r>
        <w:rPr>
          <w:vertAlign w:val="baseline"/>
        </w:rPr>
        <w:t>all</w:t>
      </w:r>
      <w:r>
        <w:rPr>
          <w:spacing w:val="-11"/>
          <w:vertAlign w:val="baseline"/>
        </w:rPr>
        <w:t> </w:t>
      </w:r>
      <w:r>
        <w:rPr>
          <w:vertAlign w:val="baseline"/>
        </w:rPr>
        <w:t>settings,</w:t>
      </w:r>
      <w:r>
        <w:rPr>
          <w:spacing w:val="-11"/>
          <w:vertAlign w:val="baseline"/>
        </w:rPr>
        <w:t> </w:t>
      </w:r>
      <w:r>
        <w:rPr>
          <w:vertAlign w:val="baseline"/>
        </w:rPr>
        <w:t>averting 33–46%</w:t>
      </w:r>
      <w:r>
        <w:rPr>
          <w:spacing w:val="-10"/>
          <w:vertAlign w:val="baseline"/>
        </w:rPr>
        <w:t> </w:t>
      </w:r>
      <w:r>
        <w:rPr>
          <w:vertAlign w:val="baseline"/>
        </w:rPr>
        <w:t>of</w:t>
      </w:r>
      <w:r>
        <w:rPr>
          <w:spacing w:val="-11"/>
          <w:vertAlign w:val="baseline"/>
        </w:rPr>
        <w:t> </w:t>
      </w:r>
      <w:r>
        <w:rPr>
          <w:vertAlign w:val="baseline"/>
        </w:rPr>
        <w:t>HIV</w:t>
      </w:r>
      <w:r>
        <w:rPr>
          <w:spacing w:val="-11"/>
          <w:vertAlign w:val="baseline"/>
        </w:rPr>
        <w:t> </w:t>
      </w:r>
      <w:r>
        <w:rPr>
          <w:vertAlign w:val="baseline"/>
        </w:rPr>
        <w:t>infections</w:t>
      </w:r>
      <w:r>
        <w:rPr>
          <w:spacing w:val="-12"/>
          <w:vertAlign w:val="baseline"/>
        </w:rPr>
        <w:t> </w:t>
      </w:r>
      <w:r>
        <w:rPr>
          <w:vertAlign w:val="baseline"/>
        </w:rPr>
        <w:t>in</w:t>
      </w:r>
      <w:r>
        <w:rPr>
          <w:spacing w:val="-10"/>
          <w:vertAlign w:val="baseline"/>
        </w:rPr>
        <w:t> </w:t>
      </w:r>
      <w:r>
        <w:rPr>
          <w:vertAlign w:val="baseline"/>
        </w:rPr>
        <w:t>the</w:t>
      </w:r>
      <w:r>
        <w:rPr>
          <w:spacing w:val="-11"/>
          <w:vertAlign w:val="baseline"/>
        </w:rPr>
        <w:t> </w:t>
      </w:r>
      <w:r>
        <w:rPr>
          <w:vertAlign w:val="baseline"/>
        </w:rPr>
        <w:t>next</w:t>
      </w:r>
      <w:r>
        <w:rPr>
          <w:spacing w:val="-9"/>
          <w:vertAlign w:val="baseline"/>
        </w:rPr>
        <w:t> </w:t>
      </w:r>
      <w:r>
        <w:rPr>
          <w:vertAlign w:val="baseline"/>
        </w:rPr>
        <w:t>decade.</w:t>
      </w:r>
      <w:r>
        <w:rPr>
          <w:vertAlign w:val="superscript"/>
        </w:rPr>
        <w:t>3</w:t>
      </w:r>
      <w:r>
        <w:rPr>
          <w:spacing w:val="-10"/>
          <w:vertAlign w:val="baseline"/>
        </w:rPr>
        <w:t> </w:t>
      </w:r>
      <w:r>
        <w:rPr>
          <w:vertAlign w:val="baseline"/>
        </w:rPr>
        <w:t>To</w:t>
      </w:r>
      <w:r>
        <w:rPr>
          <w:spacing w:val="-11"/>
          <w:vertAlign w:val="baseline"/>
        </w:rPr>
        <w:t> </w:t>
      </w:r>
      <w:r>
        <w:rPr>
          <w:vertAlign w:val="baseline"/>
        </w:rPr>
        <w:t>enhance</w:t>
      </w:r>
      <w:r>
        <w:rPr>
          <w:spacing w:val="-11"/>
          <w:vertAlign w:val="baseline"/>
        </w:rPr>
        <w:t> </w:t>
      </w:r>
      <w:r>
        <w:rPr>
          <w:vertAlign w:val="baseline"/>
        </w:rPr>
        <w:t>the</w:t>
      </w:r>
      <w:r>
        <w:rPr>
          <w:spacing w:val="-11"/>
          <w:vertAlign w:val="baseline"/>
        </w:rPr>
        <w:t> </w:t>
      </w:r>
      <w:r>
        <w:rPr>
          <w:vertAlign w:val="baseline"/>
        </w:rPr>
        <w:t>health</w:t>
      </w:r>
      <w:r>
        <w:rPr>
          <w:spacing w:val="-10"/>
          <w:vertAlign w:val="baseline"/>
        </w:rPr>
        <w:t> </w:t>
      </w:r>
      <w:r>
        <w:rPr>
          <w:vertAlign w:val="baseline"/>
        </w:rPr>
        <w:t>and</w:t>
      </w:r>
      <w:r>
        <w:rPr>
          <w:spacing w:val="-10"/>
          <w:vertAlign w:val="baseline"/>
        </w:rPr>
        <w:t> </w:t>
      </w:r>
      <w:r>
        <w:rPr>
          <w:vertAlign w:val="baseline"/>
        </w:rPr>
        <w:t>wellbeing</w:t>
      </w:r>
      <w:r>
        <w:rPr>
          <w:spacing w:val="-11"/>
          <w:vertAlign w:val="baseline"/>
        </w:rPr>
        <w:t> </w:t>
      </w:r>
      <w:r>
        <w:rPr>
          <w:vertAlign w:val="baseline"/>
        </w:rPr>
        <w:t>of</w:t>
      </w:r>
      <w:r>
        <w:rPr>
          <w:spacing w:val="-9"/>
          <w:vertAlign w:val="baseline"/>
        </w:rPr>
        <w:t> </w:t>
      </w:r>
      <w:r>
        <w:rPr>
          <w:vertAlign w:val="baseline"/>
        </w:rPr>
        <w:t>sex workers, States must ensure the full decriminalisation of sex</w:t>
      </w:r>
      <w:r>
        <w:rPr>
          <w:spacing w:val="-10"/>
          <w:vertAlign w:val="baseline"/>
        </w:rPr>
        <w:t> </w:t>
      </w:r>
      <w:r>
        <w:rPr>
          <w:vertAlign w:val="baseline"/>
        </w:rPr>
        <w:t>work.</w:t>
      </w:r>
      <w:r>
        <w:rPr>
          <w:vertAlign w:val="superscript"/>
        </w:rPr>
        <w:t>4</w:t>
      </w:r>
    </w:p>
    <w:p>
      <w:pPr>
        <w:pStyle w:val="BodyText"/>
        <w:spacing w:before="2"/>
        <w:rPr>
          <w:sz w:val="25"/>
        </w:rPr>
      </w:pPr>
    </w:p>
    <w:p>
      <w:pPr>
        <w:pStyle w:val="ListParagraph"/>
        <w:numPr>
          <w:ilvl w:val="0"/>
          <w:numId w:val="1"/>
        </w:numPr>
        <w:tabs>
          <w:tab w:pos="821" w:val="left" w:leader="none"/>
        </w:tabs>
        <w:spacing w:line="276" w:lineRule="auto" w:before="1" w:after="0"/>
        <w:ind w:left="820" w:right="113" w:hanging="360"/>
        <w:jc w:val="both"/>
        <w:rPr>
          <w:sz w:val="22"/>
        </w:rPr>
      </w:pPr>
      <w:r>
        <w:rPr>
          <w:b/>
          <w:sz w:val="22"/>
        </w:rPr>
        <w:t>Applying a labour framework to sex work</w:t>
      </w:r>
      <w:r>
        <w:rPr>
          <w:sz w:val="22"/>
        </w:rPr>
        <w:t>: Sex work is first and foremost an income- generating activity. The International Labour Organization (ILO) estimates that sex workers on average support between five and eight other people with their earnings.</w:t>
      </w:r>
      <w:r>
        <w:rPr>
          <w:sz w:val="22"/>
          <w:vertAlign w:val="superscript"/>
        </w:rPr>
        <w:t>5</w:t>
      </w:r>
      <w:r>
        <w:rPr>
          <w:sz w:val="22"/>
          <w:vertAlign w:val="baseline"/>
        </w:rPr>
        <w:t> Recognising the macroeconomic conditions that are contributing to global economic inequality and poverty at a rate unprecedented in history means acknowledging that sex workers are a group of precarious workers making choices constrained by larger social, political and economic systems, which seek to entrench discrimination and exploitation rather than alleviate it. Consequently, taking a labour rights approach to sex work is the only way to establish standards of ‘decent work’ in the industry and address labour exploitation most easily. Sex workers in the Global South, from</w:t>
      </w:r>
      <w:r>
        <w:rPr>
          <w:color w:val="1154CC"/>
          <w:sz w:val="22"/>
          <w:vertAlign w:val="baseline"/>
        </w:rPr>
        <w:t> </w:t>
      </w:r>
      <w:hyperlink r:id="rId11">
        <w:r>
          <w:rPr>
            <w:color w:val="1154CC"/>
            <w:sz w:val="22"/>
            <w:u w:val="single" w:color="1154CC"/>
            <w:vertAlign w:val="baseline"/>
          </w:rPr>
          <w:t>India</w:t>
        </w:r>
        <w:r>
          <w:rPr>
            <w:color w:val="1154CC"/>
            <w:sz w:val="22"/>
            <w:vertAlign w:val="baseline"/>
          </w:rPr>
          <w:t> </w:t>
        </w:r>
      </w:hyperlink>
      <w:r>
        <w:rPr>
          <w:sz w:val="22"/>
          <w:vertAlign w:val="baseline"/>
        </w:rPr>
        <w:t>to</w:t>
      </w:r>
      <w:hyperlink r:id="rId12">
        <w:r>
          <w:rPr>
            <w:color w:val="1154CC"/>
            <w:sz w:val="22"/>
            <w:vertAlign w:val="baseline"/>
          </w:rPr>
          <w:t> </w:t>
        </w:r>
        <w:r>
          <w:rPr>
            <w:color w:val="1154CC"/>
            <w:sz w:val="22"/>
            <w:u w:val="single" w:color="1154CC"/>
            <w:vertAlign w:val="baseline"/>
          </w:rPr>
          <w:t>Argentina</w:t>
        </w:r>
      </w:hyperlink>
      <w:r>
        <w:rPr>
          <w:sz w:val="22"/>
          <w:vertAlign w:val="baseline"/>
        </w:rPr>
        <w:t>, are collectivising to claim rights as workers in the informal economy in furtherance of this understanding. This approach further recognises the agency of consenting adults in sex work and enables the distinction between sex work and</w:t>
      </w:r>
      <w:r>
        <w:rPr>
          <w:spacing w:val="-7"/>
          <w:sz w:val="22"/>
          <w:vertAlign w:val="baseline"/>
        </w:rPr>
        <w:t> </w:t>
      </w:r>
      <w:r>
        <w:rPr>
          <w:sz w:val="22"/>
          <w:vertAlign w:val="baseline"/>
        </w:rPr>
        <w:t>trafficking.</w:t>
      </w:r>
    </w:p>
    <w:p>
      <w:pPr>
        <w:pStyle w:val="BodyText"/>
        <w:spacing w:before="4"/>
        <w:rPr>
          <w:sz w:val="25"/>
        </w:rPr>
      </w:pPr>
    </w:p>
    <w:p>
      <w:pPr>
        <w:pStyle w:val="ListParagraph"/>
        <w:numPr>
          <w:ilvl w:val="0"/>
          <w:numId w:val="1"/>
        </w:numPr>
        <w:tabs>
          <w:tab w:pos="821" w:val="left" w:leader="none"/>
        </w:tabs>
        <w:spacing w:line="276" w:lineRule="auto" w:before="0" w:after="0"/>
        <w:ind w:left="820" w:right="115" w:hanging="360"/>
        <w:jc w:val="both"/>
        <w:rPr>
          <w:sz w:val="22"/>
        </w:rPr>
      </w:pPr>
      <w:r>
        <w:rPr>
          <w:b/>
          <w:sz w:val="22"/>
        </w:rPr>
        <w:t>Applying</w:t>
      </w:r>
      <w:r>
        <w:rPr>
          <w:b/>
          <w:spacing w:val="-10"/>
          <w:sz w:val="22"/>
        </w:rPr>
        <w:t> </w:t>
      </w:r>
      <w:r>
        <w:rPr>
          <w:b/>
          <w:sz w:val="22"/>
        </w:rPr>
        <w:t>a</w:t>
      </w:r>
      <w:r>
        <w:rPr>
          <w:b/>
          <w:spacing w:val="-10"/>
          <w:sz w:val="22"/>
        </w:rPr>
        <w:t> </w:t>
      </w:r>
      <w:r>
        <w:rPr>
          <w:b/>
          <w:sz w:val="22"/>
        </w:rPr>
        <w:t>human-rights-based</w:t>
      </w:r>
      <w:r>
        <w:rPr>
          <w:b/>
          <w:spacing w:val="-8"/>
          <w:sz w:val="22"/>
        </w:rPr>
        <w:t> </w:t>
      </w:r>
      <w:r>
        <w:rPr>
          <w:b/>
          <w:sz w:val="22"/>
        </w:rPr>
        <w:t>approach</w:t>
      </w:r>
      <w:r>
        <w:rPr>
          <w:b/>
          <w:spacing w:val="-11"/>
          <w:sz w:val="22"/>
        </w:rPr>
        <w:t> </w:t>
      </w:r>
      <w:r>
        <w:rPr>
          <w:b/>
          <w:sz w:val="22"/>
        </w:rPr>
        <w:t>to</w:t>
      </w:r>
      <w:r>
        <w:rPr>
          <w:b/>
          <w:spacing w:val="-10"/>
          <w:sz w:val="22"/>
        </w:rPr>
        <w:t> </w:t>
      </w:r>
      <w:r>
        <w:rPr>
          <w:b/>
          <w:sz w:val="22"/>
        </w:rPr>
        <w:t>sex</w:t>
      </w:r>
      <w:r>
        <w:rPr>
          <w:b/>
          <w:spacing w:val="-8"/>
          <w:sz w:val="22"/>
        </w:rPr>
        <w:t> </w:t>
      </w:r>
      <w:r>
        <w:rPr>
          <w:b/>
          <w:sz w:val="22"/>
        </w:rPr>
        <w:t>work</w:t>
      </w:r>
      <w:r>
        <w:rPr>
          <w:sz w:val="22"/>
        </w:rPr>
        <w:t>:</w:t>
      </w:r>
      <w:r>
        <w:rPr>
          <w:spacing w:val="-7"/>
          <w:sz w:val="22"/>
        </w:rPr>
        <w:t> </w:t>
      </w:r>
      <w:r>
        <w:rPr>
          <w:sz w:val="22"/>
        </w:rPr>
        <w:t>Sex</w:t>
      </w:r>
      <w:r>
        <w:rPr>
          <w:spacing w:val="-10"/>
          <w:sz w:val="22"/>
        </w:rPr>
        <w:t> </w:t>
      </w:r>
      <w:r>
        <w:rPr>
          <w:sz w:val="22"/>
        </w:rPr>
        <w:t>workers</w:t>
      </w:r>
      <w:r>
        <w:rPr>
          <w:spacing w:val="-7"/>
          <w:sz w:val="22"/>
        </w:rPr>
        <w:t> </w:t>
      </w:r>
      <w:r>
        <w:rPr>
          <w:sz w:val="22"/>
        </w:rPr>
        <w:t>are</w:t>
      </w:r>
      <w:r>
        <w:rPr>
          <w:spacing w:val="-10"/>
          <w:sz w:val="22"/>
        </w:rPr>
        <w:t> </w:t>
      </w:r>
      <w:r>
        <w:rPr>
          <w:sz w:val="22"/>
        </w:rPr>
        <w:t>equal</w:t>
      </w:r>
      <w:r>
        <w:rPr>
          <w:spacing w:val="-9"/>
          <w:sz w:val="22"/>
        </w:rPr>
        <w:t> </w:t>
      </w:r>
      <w:r>
        <w:rPr>
          <w:sz w:val="22"/>
        </w:rPr>
        <w:t>holders of all human rights and States have the obligation to respect, protect, promote and fulfill their rights.</w:t>
      </w:r>
      <w:r>
        <w:rPr>
          <w:sz w:val="22"/>
          <w:vertAlign w:val="superscript"/>
        </w:rPr>
        <w:t>6</w:t>
      </w:r>
      <w:r>
        <w:rPr>
          <w:sz w:val="22"/>
          <w:vertAlign w:val="baseline"/>
        </w:rPr>
        <w:t> The NSWP Consensus Statement on Sex Work, Human Rights and the</w:t>
      </w:r>
      <w:r>
        <w:rPr>
          <w:spacing w:val="-31"/>
          <w:sz w:val="22"/>
          <w:vertAlign w:val="baseline"/>
        </w:rPr>
        <w:t> </w:t>
      </w:r>
      <w:r>
        <w:rPr>
          <w:sz w:val="22"/>
          <w:vertAlign w:val="baseline"/>
        </w:rPr>
        <w:t>Law recognises</w:t>
      </w:r>
      <w:r>
        <w:rPr>
          <w:spacing w:val="-11"/>
          <w:sz w:val="22"/>
          <w:vertAlign w:val="baseline"/>
        </w:rPr>
        <w:t> </w:t>
      </w:r>
      <w:r>
        <w:rPr>
          <w:sz w:val="22"/>
          <w:vertAlign w:val="baseline"/>
        </w:rPr>
        <w:t>the</w:t>
      </w:r>
      <w:r>
        <w:rPr>
          <w:spacing w:val="-12"/>
          <w:sz w:val="22"/>
          <w:vertAlign w:val="baseline"/>
        </w:rPr>
        <w:t> </w:t>
      </w:r>
      <w:r>
        <w:rPr>
          <w:sz w:val="22"/>
          <w:vertAlign w:val="baseline"/>
        </w:rPr>
        <w:t>following</w:t>
      </w:r>
      <w:r>
        <w:rPr>
          <w:spacing w:val="-11"/>
          <w:sz w:val="22"/>
          <w:vertAlign w:val="baseline"/>
        </w:rPr>
        <w:t> </w:t>
      </w:r>
      <w:r>
        <w:rPr>
          <w:sz w:val="22"/>
          <w:vertAlign w:val="baseline"/>
        </w:rPr>
        <w:t>eight</w:t>
      </w:r>
      <w:r>
        <w:rPr>
          <w:spacing w:val="-8"/>
          <w:sz w:val="22"/>
          <w:vertAlign w:val="baseline"/>
        </w:rPr>
        <w:t> </w:t>
      </w:r>
      <w:r>
        <w:rPr>
          <w:sz w:val="22"/>
          <w:vertAlign w:val="baseline"/>
        </w:rPr>
        <w:t>rights</w:t>
      </w:r>
      <w:r>
        <w:rPr>
          <w:spacing w:val="-12"/>
          <w:sz w:val="22"/>
          <w:vertAlign w:val="baseline"/>
        </w:rPr>
        <w:t> </w:t>
      </w:r>
      <w:r>
        <w:rPr>
          <w:sz w:val="22"/>
          <w:vertAlign w:val="baseline"/>
        </w:rPr>
        <w:t>as</w:t>
      </w:r>
      <w:r>
        <w:rPr>
          <w:spacing w:val="-10"/>
          <w:sz w:val="22"/>
          <w:vertAlign w:val="baseline"/>
        </w:rPr>
        <w:t> </w:t>
      </w:r>
      <w:r>
        <w:rPr>
          <w:sz w:val="22"/>
          <w:vertAlign w:val="baseline"/>
        </w:rPr>
        <w:t>critical</w:t>
      </w:r>
      <w:r>
        <w:rPr>
          <w:spacing w:val="-11"/>
          <w:sz w:val="22"/>
          <w:vertAlign w:val="baseline"/>
        </w:rPr>
        <w:t> </w:t>
      </w:r>
      <w:r>
        <w:rPr>
          <w:sz w:val="22"/>
          <w:vertAlign w:val="baseline"/>
        </w:rPr>
        <w:t>to</w:t>
      </w:r>
      <w:r>
        <w:rPr>
          <w:spacing w:val="-10"/>
          <w:sz w:val="22"/>
          <w:vertAlign w:val="baseline"/>
        </w:rPr>
        <w:t> </w:t>
      </w:r>
      <w:r>
        <w:rPr>
          <w:sz w:val="22"/>
          <w:vertAlign w:val="baseline"/>
        </w:rPr>
        <w:t>safeguarding</w:t>
      </w:r>
      <w:r>
        <w:rPr>
          <w:spacing w:val="-10"/>
          <w:sz w:val="22"/>
          <w:vertAlign w:val="baseline"/>
        </w:rPr>
        <w:t> </w:t>
      </w:r>
      <w:r>
        <w:rPr>
          <w:sz w:val="22"/>
          <w:vertAlign w:val="baseline"/>
        </w:rPr>
        <w:t>sex</w:t>
      </w:r>
      <w:r>
        <w:rPr>
          <w:spacing w:val="-12"/>
          <w:sz w:val="22"/>
          <w:vertAlign w:val="baseline"/>
        </w:rPr>
        <w:t> </w:t>
      </w:r>
      <w:r>
        <w:rPr>
          <w:sz w:val="22"/>
          <w:vertAlign w:val="baseline"/>
        </w:rPr>
        <w:t>workers’</w:t>
      </w:r>
      <w:r>
        <w:rPr>
          <w:spacing w:val="-11"/>
          <w:sz w:val="22"/>
          <w:vertAlign w:val="baseline"/>
        </w:rPr>
        <w:t> </w:t>
      </w:r>
      <w:r>
        <w:rPr>
          <w:sz w:val="22"/>
          <w:vertAlign w:val="baseline"/>
        </w:rPr>
        <w:t>human</w:t>
      </w:r>
      <w:r>
        <w:rPr>
          <w:spacing w:val="-13"/>
          <w:sz w:val="22"/>
          <w:vertAlign w:val="baseline"/>
        </w:rPr>
        <w:t> </w:t>
      </w:r>
      <w:r>
        <w:rPr>
          <w:sz w:val="22"/>
          <w:vertAlign w:val="baseline"/>
        </w:rPr>
        <w:t>rights, labour</w:t>
      </w:r>
      <w:r>
        <w:rPr>
          <w:spacing w:val="-13"/>
          <w:sz w:val="22"/>
          <w:vertAlign w:val="baseline"/>
        </w:rPr>
        <w:t> </w:t>
      </w:r>
      <w:r>
        <w:rPr>
          <w:sz w:val="22"/>
          <w:vertAlign w:val="baseline"/>
        </w:rPr>
        <w:t>rights</w:t>
      </w:r>
      <w:r>
        <w:rPr>
          <w:spacing w:val="-15"/>
          <w:sz w:val="22"/>
          <w:vertAlign w:val="baseline"/>
        </w:rPr>
        <w:t> </w:t>
      </w:r>
      <w:r>
        <w:rPr>
          <w:sz w:val="22"/>
          <w:vertAlign w:val="baseline"/>
        </w:rPr>
        <w:t>and</w:t>
      </w:r>
      <w:r>
        <w:rPr>
          <w:spacing w:val="-12"/>
          <w:sz w:val="22"/>
          <w:vertAlign w:val="baseline"/>
        </w:rPr>
        <w:t> </w:t>
      </w:r>
      <w:r>
        <w:rPr>
          <w:sz w:val="22"/>
          <w:vertAlign w:val="baseline"/>
        </w:rPr>
        <w:t>health</w:t>
      </w:r>
      <w:r>
        <w:rPr>
          <w:spacing w:val="-15"/>
          <w:sz w:val="22"/>
          <w:vertAlign w:val="baseline"/>
        </w:rPr>
        <w:t> </w:t>
      </w:r>
      <w:r>
        <w:rPr>
          <w:sz w:val="22"/>
          <w:vertAlign w:val="baseline"/>
        </w:rPr>
        <w:t>rights:</w:t>
      </w:r>
      <w:r>
        <w:rPr>
          <w:spacing w:val="-16"/>
          <w:sz w:val="22"/>
          <w:vertAlign w:val="baseline"/>
        </w:rPr>
        <w:t> </w:t>
      </w:r>
      <w:r>
        <w:rPr>
          <w:sz w:val="22"/>
          <w:vertAlign w:val="baseline"/>
        </w:rPr>
        <w:t>the</w:t>
      </w:r>
      <w:r>
        <w:rPr>
          <w:spacing w:val="-16"/>
          <w:sz w:val="22"/>
          <w:vertAlign w:val="baseline"/>
        </w:rPr>
        <w:t> </w:t>
      </w:r>
      <w:r>
        <w:rPr>
          <w:sz w:val="22"/>
          <w:vertAlign w:val="baseline"/>
        </w:rPr>
        <w:t>right</w:t>
      </w:r>
      <w:r>
        <w:rPr>
          <w:spacing w:val="-12"/>
          <w:sz w:val="22"/>
          <w:vertAlign w:val="baseline"/>
        </w:rPr>
        <w:t> </w:t>
      </w:r>
      <w:r>
        <w:rPr>
          <w:sz w:val="22"/>
          <w:vertAlign w:val="baseline"/>
        </w:rPr>
        <w:t>to</w:t>
      </w:r>
      <w:r>
        <w:rPr>
          <w:spacing w:val="-15"/>
          <w:sz w:val="22"/>
          <w:vertAlign w:val="baseline"/>
        </w:rPr>
        <w:t> </w:t>
      </w:r>
      <w:r>
        <w:rPr>
          <w:sz w:val="22"/>
          <w:vertAlign w:val="baseline"/>
        </w:rPr>
        <w:t>associate</w:t>
      </w:r>
      <w:r>
        <w:rPr>
          <w:spacing w:val="-12"/>
          <w:sz w:val="22"/>
          <w:vertAlign w:val="baseline"/>
        </w:rPr>
        <w:t> </w:t>
      </w:r>
      <w:r>
        <w:rPr>
          <w:sz w:val="22"/>
          <w:vertAlign w:val="baseline"/>
        </w:rPr>
        <w:t>and</w:t>
      </w:r>
      <w:r>
        <w:rPr>
          <w:spacing w:val="-15"/>
          <w:sz w:val="22"/>
          <w:vertAlign w:val="baseline"/>
        </w:rPr>
        <w:t> </w:t>
      </w:r>
      <w:r>
        <w:rPr>
          <w:sz w:val="22"/>
          <w:vertAlign w:val="baseline"/>
        </w:rPr>
        <w:t>organise;</w:t>
      </w:r>
      <w:r>
        <w:rPr>
          <w:spacing w:val="-15"/>
          <w:sz w:val="22"/>
          <w:vertAlign w:val="baseline"/>
        </w:rPr>
        <w:t> </w:t>
      </w:r>
      <w:r>
        <w:rPr>
          <w:sz w:val="22"/>
          <w:vertAlign w:val="baseline"/>
        </w:rPr>
        <w:t>the</w:t>
      </w:r>
      <w:r>
        <w:rPr>
          <w:spacing w:val="-15"/>
          <w:sz w:val="22"/>
          <w:vertAlign w:val="baseline"/>
        </w:rPr>
        <w:t> </w:t>
      </w:r>
      <w:r>
        <w:rPr>
          <w:sz w:val="22"/>
          <w:vertAlign w:val="baseline"/>
        </w:rPr>
        <w:t>right</w:t>
      </w:r>
      <w:r>
        <w:rPr>
          <w:spacing w:val="-16"/>
          <w:sz w:val="22"/>
          <w:vertAlign w:val="baseline"/>
        </w:rPr>
        <w:t> </w:t>
      </w:r>
      <w:r>
        <w:rPr>
          <w:sz w:val="22"/>
          <w:vertAlign w:val="baseline"/>
        </w:rPr>
        <w:t>to</w:t>
      </w:r>
      <w:r>
        <w:rPr>
          <w:spacing w:val="-12"/>
          <w:sz w:val="22"/>
          <w:vertAlign w:val="baseline"/>
        </w:rPr>
        <w:t> </w:t>
      </w:r>
      <w:r>
        <w:rPr>
          <w:sz w:val="22"/>
          <w:vertAlign w:val="baseline"/>
        </w:rPr>
        <w:t>be</w:t>
      </w:r>
      <w:r>
        <w:rPr>
          <w:spacing w:val="-15"/>
          <w:sz w:val="22"/>
          <w:vertAlign w:val="baseline"/>
        </w:rPr>
        <w:t> </w:t>
      </w:r>
      <w:r>
        <w:rPr>
          <w:sz w:val="22"/>
          <w:vertAlign w:val="baseline"/>
        </w:rPr>
        <w:t>protected by the law; the right to be free from violence; the right to be free from discrimination; the right</w:t>
      </w:r>
      <w:r>
        <w:rPr>
          <w:spacing w:val="16"/>
          <w:sz w:val="22"/>
          <w:vertAlign w:val="baseline"/>
        </w:rPr>
        <w:t> </w:t>
      </w:r>
      <w:r>
        <w:rPr>
          <w:sz w:val="22"/>
          <w:vertAlign w:val="baseline"/>
        </w:rPr>
        <w:t>to</w:t>
      </w:r>
      <w:r>
        <w:rPr>
          <w:spacing w:val="18"/>
          <w:sz w:val="22"/>
          <w:vertAlign w:val="baseline"/>
        </w:rPr>
        <w:t> </w:t>
      </w:r>
      <w:r>
        <w:rPr>
          <w:sz w:val="22"/>
          <w:vertAlign w:val="baseline"/>
        </w:rPr>
        <w:t>privacy,</w:t>
      </w:r>
      <w:r>
        <w:rPr>
          <w:spacing w:val="20"/>
          <w:sz w:val="22"/>
          <w:vertAlign w:val="baseline"/>
        </w:rPr>
        <w:t> </w:t>
      </w:r>
      <w:r>
        <w:rPr>
          <w:sz w:val="22"/>
          <w:vertAlign w:val="baseline"/>
        </w:rPr>
        <w:t>and</w:t>
      </w:r>
      <w:r>
        <w:rPr>
          <w:spacing w:val="16"/>
          <w:sz w:val="22"/>
          <w:vertAlign w:val="baseline"/>
        </w:rPr>
        <w:t> </w:t>
      </w:r>
      <w:r>
        <w:rPr>
          <w:sz w:val="22"/>
          <w:vertAlign w:val="baseline"/>
        </w:rPr>
        <w:t>freedom</w:t>
      </w:r>
      <w:r>
        <w:rPr>
          <w:spacing w:val="17"/>
          <w:sz w:val="22"/>
          <w:vertAlign w:val="baseline"/>
        </w:rPr>
        <w:t> </w:t>
      </w:r>
      <w:r>
        <w:rPr>
          <w:sz w:val="22"/>
          <w:vertAlign w:val="baseline"/>
        </w:rPr>
        <w:t>from</w:t>
      </w:r>
      <w:r>
        <w:rPr>
          <w:spacing w:val="20"/>
          <w:sz w:val="22"/>
          <w:vertAlign w:val="baseline"/>
        </w:rPr>
        <w:t> </w:t>
      </w:r>
      <w:r>
        <w:rPr>
          <w:sz w:val="22"/>
          <w:vertAlign w:val="baseline"/>
        </w:rPr>
        <w:t>arbitrary</w:t>
      </w:r>
      <w:r>
        <w:rPr>
          <w:spacing w:val="18"/>
          <w:sz w:val="22"/>
          <w:vertAlign w:val="baseline"/>
        </w:rPr>
        <w:t> </w:t>
      </w:r>
      <w:r>
        <w:rPr>
          <w:sz w:val="22"/>
          <w:vertAlign w:val="baseline"/>
        </w:rPr>
        <w:t>interference;</w:t>
      </w:r>
      <w:r>
        <w:rPr>
          <w:spacing w:val="17"/>
          <w:sz w:val="22"/>
          <w:vertAlign w:val="baseline"/>
        </w:rPr>
        <w:t> </w:t>
      </w:r>
      <w:r>
        <w:rPr>
          <w:sz w:val="22"/>
          <w:vertAlign w:val="baseline"/>
        </w:rPr>
        <w:t>the</w:t>
      </w:r>
      <w:r>
        <w:rPr>
          <w:spacing w:val="16"/>
          <w:sz w:val="22"/>
          <w:vertAlign w:val="baseline"/>
        </w:rPr>
        <w:t> </w:t>
      </w:r>
      <w:r>
        <w:rPr>
          <w:sz w:val="22"/>
          <w:vertAlign w:val="baseline"/>
        </w:rPr>
        <w:t>right</w:t>
      </w:r>
      <w:r>
        <w:rPr>
          <w:spacing w:val="17"/>
          <w:sz w:val="22"/>
          <w:vertAlign w:val="baseline"/>
        </w:rPr>
        <w:t> </w:t>
      </w:r>
      <w:r>
        <w:rPr>
          <w:sz w:val="22"/>
          <w:vertAlign w:val="baseline"/>
        </w:rPr>
        <w:t>to</w:t>
      </w:r>
      <w:r>
        <w:rPr>
          <w:spacing w:val="18"/>
          <w:sz w:val="22"/>
          <w:vertAlign w:val="baseline"/>
        </w:rPr>
        <w:t> </w:t>
      </w:r>
      <w:r>
        <w:rPr>
          <w:sz w:val="22"/>
          <w:vertAlign w:val="baseline"/>
        </w:rPr>
        <w:t>health;</w:t>
      </w:r>
      <w:r>
        <w:rPr>
          <w:spacing w:val="20"/>
          <w:sz w:val="22"/>
          <w:vertAlign w:val="baseline"/>
        </w:rPr>
        <w:t> </w:t>
      </w:r>
      <w:r>
        <w:rPr>
          <w:sz w:val="22"/>
          <w:vertAlign w:val="baseline"/>
        </w:rPr>
        <w:t>the</w:t>
      </w:r>
      <w:r>
        <w:rPr>
          <w:spacing w:val="16"/>
          <w:sz w:val="22"/>
          <w:vertAlign w:val="baseline"/>
        </w:rPr>
        <w:t> </w:t>
      </w:r>
      <w:r>
        <w:rPr>
          <w:sz w:val="22"/>
          <w:vertAlign w:val="baseline"/>
        </w:rPr>
        <w:t>right</w:t>
      </w:r>
      <w:r>
        <w:rPr>
          <w:spacing w:val="17"/>
          <w:sz w:val="22"/>
          <w:vertAlign w:val="baseline"/>
        </w:rPr>
        <w:t> </w:t>
      </w:r>
      <w:r>
        <w:rPr>
          <w:sz w:val="22"/>
          <w:vertAlign w:val="baseline"/>
        </w:rPr>
        <w:t>to</w:t>
      </w:r>
    </w:p>
    <w:p>
      <w:pPr>
        <w:pStyle w:val="BodyText"/>
        <w:rPr>
          <w:sz w:val="20"/>
        </w:rPr>
      </w:pPr>
    </w:p>
    <w:p>
      <w:pPr>
        <w:pStyle w:val="BodyText"/>
        <w:rPr>
          <w:sz w:val="20"/>
        </w:rPr>
      </w:pPr>
    </w:p>
    <w:p>
      <w:pPr>
        <w:pStyle w:val="BodyText"/>
        <w:spacing w:before="1"/>
        <w:rPr>
          <w:sz w:val="23"/>
        </w:rPr>
      </w:pPr>
      <w:r>
        <w:rPr/>
        <w:pict>
          <v:rect style="position:absolute;margin-left:72.024002pt;margin-top:15.226415pt;width:144.020pt;height:.60004pt;mso-position-horizontal-relative:page;mso-position-vertical-relative:paragraph;z-index:-15727616;mso-wrap-distance-left:0;mso-wrap-distance-right:0" filled="true" fillcolor="#000000" stroked="false">
            <v:fill type="solid"/>
            <w10:wrap type="topAndBottom"/>
          </v:rect>
        </w:pict>
      </w:r>
    </w:p>
    <w:p>
      <w:pPr>
        <w:pStyle w:val="ListParagraph"/>
        <w:numPr>
          <w:ilvl w:val="0"/>
          <w:numId w:val="2"/>
        </w:numPr>
        <w:tabs>
          <w:tab w:pos="233" w:val="left" w:leader="none"/>
        </w:tabs>
        <w:spacing w:line="242" w:lineRule="auto" w:before="60" w:after="0"/>
        <w:ind w:left="100" w:right="144" w:firstLine="0"/>
        <w:jc w:val="both"/>
        <w:rPr>
          <w:sz w:val="18"/>
        </w:rPr>
      </w:pPr>
      <w:r>
        <w:rPr>
          <w:sz w:val="18"/>
        </w:rPr>
        <w:t>Amnesty International, Explanatory Note on Amnesty International’s Policy on State Obligations to Respect, Protect and Fulfill the Human Rights of Sex Workers, Index: POL 30/4063/2016 26 May 2016, page eden%E2%80%99s-sex- workers21</w:t>
      </w:r>
    </w:p>
    <w:p>
      <w:pPr>
        <w:spacing w:line="240" w:lineRule="auto" w:before="19"/>
        <w:ind w:left="100" w:right="559" w:firstLine="0"/>
        <w:jc w:val="left"/>
        <w:rPr>
          <w:sz w:val="18"/>
        </w:rPr>
      </w:pPr>
      <w:r>
        <w:rPr>
          <w:sz w:val="20"/>
          <w:vertAlign w:val="superscript"/>
        </w:rPr>
        <w:t>3</w:t>
      </w:r>
      <w:r>
        <w:rPr>
          <w:spacing w:val="-5"/>
          <w:sz w:val="20"/>
          <w:vertAlign w:val="baseline"/>
        </w:rPr>
        <w:t> </w:t>
      </w:r>
      <w:r>
        <w:rPr>
          <w:sz w:val="20"/>
          <w:vertAlign w:val="baseline"/>
        </w:rPr>
        <w:t>Shannon,</w:t>
      </w:r>
      <w:r>
        <w:rPr>
          <w:spacing w:val="-3"/>
          <w:sz w:val="20"/>
          <w:vertAlign w:val="baseline"/>
        </w:rPr>
        <w:t> </w:t>
      </w:r>
      <w:r>
        <w:rPr>
          <w:sz w:val="20"/>
          <w:vertAlign w:val="baseline"/>
        </w:rPr>
        <w:t>Kate</w:t>
      </w:r>
      <w:r>
        <w:rPr>
          <w:spacing w:val="-4"/>
          <w:sz w:val="20"/>
          <w:vertAlign w:val="baseline"/>
        </w:rPr>
        <w:t> </w:t>
      </w:r>
      <w:r>
        <w:rPr>
          <w:sz w:val="20"/>
          <w:vertAlign w:val="baseline"/>
        </w:rPr>
        <w:t>et</w:t>
      </w:r>
      <w:r>
        <w:rPr>
          <w:spacing w:val="-3"/>
          <w:sz w:val="20"/>
          <w:vertAlign w:val="baseline"/>
        </w:rPr>
        <w:t> </w:t>
      </w:r>
      <w:r>
        <w:rPr>
          <w:sz w:val="20"/>
          <w:vertAlign w:val="baseline"/>
        </w:rPr>
        <w:t>al,</w:t>
      </w:r>
      <w:r>
        <w:rPr>
          <w:spacing w:val="-2"/>
          <w:sz w:val="20"/>
          <w:vertAlign w:val="baseline"/>
        </w:rPr>
        <w:t> </w:t>
      </w:r>
      <w:r>
        <w:rPr>
          <w:sz w:val="20"/>
          <w:vertAlign w:val="baseline"/>
        </w:rPr>
        <w:t>‘Global</w:t>
      </w:r>
      <w:r>
        <w:rPr>
          <w:spacing w:val="-6"/>
          <w:sz w:val="20"/>
          <w:vertAlign w:val="baseline"/>
        </w:rPr>
        <w:t> </w:t>
      </w:r>
      <w:r>
        <w:rPr>
          <w:sz w:val="20"/>
          <w:vertAlign w:val="baseline"/>
        </w:rPr>
        <w:t>epidemiology</w:t>
      </w:r>
      <w:r>
        <w:rPr>
          <w:spacing w:val="-1"/>
          <w:sz w:val="20"/>
          <w:vertAlign w:val="baseline"/>
        </w:rPr>
        <w:t> </w:t>
      </w:r>
      <w:r>
        <w:rPr>
          <w:sz w:val="20"/>
          <w:vertAlign w:val="baseline"/>
        </w:rPr>
        <w:t>of</w:t>
      </w:r>
      <w:r>
        <w:rPr>
          <w:spacing w:val="-6"/>
          <w:sz w:val="20"/>
          <w:vertAlign w:val="baseline"/>
        </w:rPr>
        <w:t> </w:t>
      </w:r>
      <w:r>
        <w:rPr>
          <w:sz w:val="20"/>
          <w:vertAlign w:val="baseline"/>
        </w:rPr>
        <w:t>HIV</w:t>
      </w:r>
      <w:r>
        <w:rPr>
          <w:spacing w:val="-4"/>
          <w:sz w:val="20"/>
          <w:vertAlign w:val="baseline"/>
        </w:rPr>
        <w:t> </w:t>
      </w:r>
      <w:r>
        <w:rPr>
          <w:sz w:val="20"/>
          <w:vertAlign w:val="baseline"/>
        </w:rPr>
        <w:t>among</w:t>
      </w:r>
      <w:r>
        <w:rPr>
          <w:spacing w:val="-5"/>
          <w:sz w:val="20"/>
          <w:vertAlign w:val="baseline"/>
        </w:rPr>
        <w:t> </w:t>
      </w:r>
      <w:r>
        <w:rPr>
          <w:sz w:val="20"/>
          <w:vertAlign w:val="baseline"/>
        </w:rPr>
        <w:t>female</w:t>
      </w:r>
      <w:r>
        <w:rPr>
          <w:spacing w:val="-5"/>
          <w:sz w:val="20"/>
          <w:vertAlign w:val="baseline"/>
        </w:rPr>
        <w:t> </w:t>
      </w:r>
      <w:r>
        <w:rPr>
          <w:sz w:val="20"/>
          <w:vertAlign w:val="baseline"/>
        </w:rPr>
        <w:t>sex</w:t>
      </w:r>
      <w:r>
        <w:rPr>
          <w:spacing w:val="-3"/>
          <w:sz w:val="20"/>
          <w:vertAlign w:val="baseline"/>
        </w:rPr>
        <w:t> </w:t>
      </w:r>
      <w:r>
        <w:rPr>
          <w:sz w:val="20"/>
          <w:vertAlign w:val="baseline"/>
        </w:rPr>
        <w:t>workers:</w:t>
      </w:r>
      <w:r>
        <w:rPr>
          <w:spacing w:val="-5"/>
          <w:sz w:val="20"/>
          <w:vertAlign w:val="baseline"/>
        </w:rPr>
        <w:t> </w:t>
      </w:r>
      <w:r>
        <w:rPr>
          <w:sz w:val="20"/>
          <w:vertAlign w:val="baseline"/>
        </w:rPr>
        <w:t>influence</w:t>
      </w:r>
      <w:r>
        <w:rPr>
          <w:spacing w:val="-2"/>
          <w:sz w:val="20"/>
          <w:vertAlign w:val="baseline"/>
        </w:rPr>
        <w:t> </w:t>
      </w:r>
      <w:r>
        <w:rPr>
          <w:sz w:val="20"/>
          <w:vertAlign w:val="baseline"/>
        </w:rPr>
        <w:t>of</w:t>
      </w:r>
      <w:r>
        <w:rPr>
          <w:spacing w:val="-6"/>
          <w:sz w:val="20"/>
          <w:vertAlign w:val="baseline"/>
        </w:rPr>
        <w:t> </w:t>
      </w:r>
      <w:r>
        <w:rPr>
          <w:sz w:val="20"/>
          <w:vertAlign w:val="baseline"/>
        </w:rPr>
        <w:t>structural determinants.’, The Lancet, Volume 385, Issue 9962, 55–71, DOI: </w:t>
      </w:r>
      <w:hyperlink r:id="rId13">
        <w:r>
          <w:rPr>
            <w:color w:val="1154CC"/>
            <w:spacing w:val="-1"/>
            <w:sz w:val="22"/>
            <w:u w:val="single" w:color="1154CC"/>
            <w:vertAlign w:val="baseline"/>
          </w:rPr>
          <w:t>http://www.thelancet.com/journals/lancet/article/PIIS0140-6736%2814%2960931-4/abstract</w:t>
        </w:r>
      </w:hyperlink>
      <w:r>
        <w:rPr>
          <w:color w:val="1154CC"/>
          <w:spacing w:val="-1"/>
          <w:sz w:val="22"/>
          <w:vertAlign w:val="baseline"/>
        </w:rPr>
        <w:t> </w:t>
      </w:r>
      <w:r>
        <w:rPr>
          <w:position w:val="8"/>
          <w:sz w:val="14"/>
          <w:vertAlign w:val="baseline"/>
        </w:rPr>
        <w:t>4 </w:t>
      </w:r>
      <w:r>
        <w:rPr>
          <w:sz w:val="18"/>
          <w:vertAlign w:val="baseline"/>
        </w:rPr>
        <w:t>Supra at</w:t>
      </w:r>
      <w:r>
        <w:rPr>
          <w:spacing w:val="-26"/>
          <w:sz w:val="18"/>
          <w:vertAlign w:val="baseline"/>
        </w:rPr>
        <w:t> </w:t>
      </w:r>
      <w:r>
        <w:rPr>
          <w:sz w:val="18"/>
          <w:vertAlign w:val="baseline"/>
        </w:rPr>
        <w:t>1</w:t>
      </w:r>
    </w:p>
    <w:p>
      <w:pPr>
        <w:pStyle w:val="ListParagraph"/>
        <w:numPr>
          <w:ilvl w:val="0"/>
          <w:numId w:val="3"/>
        </w:numPr>
        <w:tabs>
          <w:tab w:pos="233" w:val="left" w:leader="none"/>
        </w:tabs>
        <w:spacing w:line="249" w:lineRule="auto" w:before="3" w:after="0"/>
        <w:ind w:left="100" w:right="1336" w:firstLine="0"/>
        <w:jc w:val="left"/>
        <w:rPr>
          <w:sz w:val="18"/>
        </w:rPr>
      </w:pPr>
      <w:r>
        <w:rPr>
          <w:sz w:val="18"/>
        </w:rPr>
        <w:t>Global Network of Sex Work Projects, Policy Brief: Sex Work as Work, December 2017. Available</w:t>
      </w:r>
      <w:r>
        <w:rPr>
          <w:spacing w:val="-36"/>
          <w:sz w:val="18"/>
        </w:rPr>
        <w:t> </w:t>
      </w:r>
      <w:r>
        <w:rPr>
          <w:sz w:val="18"/>
        </w:rPr>
        <w:t>at: https:/</w:t>
      </w:r>
      <w:hyperlink r:id="rId14">
        <w:r>
          <w:rPr>
            <w:sz w:val="18"/>
          </w:rPr>
          <w:t>/www.n</w:t>
        </w:r>
      </w:hyperlink>
      <w:r>
        <w:rPr>
          <w:sz w:val="18"/>
        </w:rPr>
        <w:t>s</w:t>
      </w:r>
      <w:hyperlink r:id="rId14">
        <w:r>
          <w:rPr>
            <w:sz w:val="18"/>
          </w:rPr>
          <w:t>wp.org/sites/nswp.org/files/policy_brief_sex_work_as_work_nswp_-_2017.pdf</w:t>
        </w:r>
      </w:hyperlink>
    </w:p>
    <w:p>
      <w:pPr>
        <w:pStyle w:val="ListParagraph"/>
        <w:numPr>
          <w:ilvl w:val="0"/>
          <w:numId w:val="3"/>
        </w:numPr>
        <w:tabs>
          <w:tab w:pos="233" w:val="left" w:leader="none"/>
        </w:tabs>
        <w:spacing w:line="237" w:lineRule="exact" w:before="0" w:after="0"/>
        <w:ind w:left="232" w:right="0" w:hanging="133"/>
        <w:jc w:val="left"/>
        <w:rPr>
          <w:sz w:val="18"/>
        </w:rPr>
      </w:pPr>
      <w:r>
        <w:rPr>
          <w:sz w:val="18"/>
        </w:rPr>
        <w:t>International Women’s Rights Action Watch Asia Pacific &amp; Global Network of Sex Work Projects, Framework</w:t>
      </w:r>
      <w:r>
        <w:rPr>
          <w:spacing w:val="-17"/>
          <w:sz w:val="18"/>
        </w:rPr>
        <w:t> </w:t>
      </w:r>
      <w:r>
        <w:rPr>
          <w:sz w:val="18"/>
        </w:rPr>
        <w:t>on</w:t>
      </w:r>
    </w:p>
    <w:p>
      <w:pPr>
        <w:spacing w:before="9"/>
        <w:ind w:left="100" w:right="2811" w:firstLine="0"/>
        <w:jc w:val="left"/>
        <w:rPr>
          <w:sz w:val="18"/>
        </w:rPr>
      </w:pPr>
      <w:r>
        <w:rPr>
          <w:sz w:val="18"/>
        </w:rPr>
        <w:t>Rights of Sex Workers &amp; CEDAW, 2017. Available at: https:/</w:t>
      </w:r>
      <w:hyperlink r:id="rId15">
        <w:r>
          <w:rPr>
            <w:sz w:val="18"/>
          </w:rPr>
          <w:t>/www.iwraw</w:t>
        </w:r>
      </w:hyperlink>
      <w:r>
        <w:rPr>
          <w:sz w:val="18"/>
        </w:rPr>
        <w:t>-</w:t>
      </w:r>
      <w:hyperlink r:id="rId15">
        <w:r>
          <w:rPr>
            <w:sz w:val="18"/>
          </w:rPr>
          <w:t>ap.org/wp-</w:t>
        </w:r>
      </w:hyperlink>
      <w:r>
        <w:rPr>
          <w:sz w:val="18"/>
        </w:rPr>
        <w:t> content/uploads/2018/04/Framework-on-Rights-of-Sex-Workers-CEDAW-1.pdf</w:t>
      </w:r>
    </w:p>
    <w:p>
      <w:pPr>
        <w:spacing w:after="0"/>
        <w:jc w:val="left"/>
        <w:rPr>
          <w:sz w:val="18"/>
        </w:rPr>
        <w:sectPr>
          <w:pgSz w:w="12240" w:h="15840"/>
          <w:pgMar w:header="0" w:footer="801" w:top="1360" w:bottom="1000" w:left="1340" w:right="1320"/>
        </w:sectPr>
      </w:pPr>
    </w:p>
    <w:p>
      <w:pPr>
        <w:pStyle w:val="BodyText"/>
        <w:spacing w:line="276" w:lineRule="auto" w:before="80"/>
        <w:ind w:left="820" w:right="113"/>
        <w:jc w:val="both"/>
      </w:pPr>
      <w:r>
        <w:rPr/>
        <w:t>move and migrate; and the right to work and free choice of employment.</w:t>
      </w:r>
      <w:r>
        <w:rPr>
          <w:vertAlign w:val="superscript"/>
        </w:rPr>
        <w:t>7</w:t>
      </w:r>
      <w:r>
        <w:rPr>
          <w:vertAlign w:val="baseline"/>
        </w:rPr>
        <w:t> The former UN Special Rapporteur on the right to physical and mental health Anand Grover, writing on the subject of sex work and human rights, states that certain freedoms and entitlements based on the classical understanding of liberty - respect for autonomy and consent - are fundamental and underlie all human rights. He further holds</w:t>
      </w:r>
      <w:r>
        <w:rPr>
          <w:spacing w:val="-9"/>
          <w:vertAlign w:val="baseline"/>
        </w:rPr>
        <w:t> </w:t>
      </w:r>
      <w:r>
        <w:rPr>
          <w:vertAlign w:val="baseline"/>
        </w:rPr>
        <w:t>that:</w:t>
      </w:r>
    </w:p>
    <w:p>
      <w:pPr>
        <w:spacing w:line="276" w:lineRule="auto" w:before="0"/>
        <w:ind w:left="1540" w:right="115" w:firstLine="0"/>
        <w:jc w:val="both"/>
        <w:rPr>
          <w:sz w:val="22"/>
        </w:rPr>
      </w:pPr>
      <w:r>
        <w:rPr>
          <w:sz w:val="22"/>
        </w:rPr>
        <w:t>“</w:t>
      </w:r>
      <w:r>
        <w:rPr>
          <w:i/>
          <w:sz w:val="22"/>
        </w:rPr>
        <w:t>These freedoms, combined with entitlements such as participation of affected </w:t>
      </w:r>
      <w:r>
        <w:rPr>
          <w:i/>
          <w:sz w:val="22"/>
        </w:rPr>
        <w:t>communities</w:t>
      </w:r>
      <w:r>
        <w:rPr>
          <w:i/>
          <w:spacing w:val="-7"/>
          <w:sz w:val="22"/>
        </w:rPr>
        <w:t> </w:t>
      </w:r>
      <w:r>
        <w:rPr>
          <w:i/>
          <w:sz w:val="22"/>
        </w:rPr>
        <w:t>in</w:t>
      </w:r>
      <w:r>
        <w:rPr>
          <w:i/>
          <w:spacing w:val="-6"/>
          <w:sz w:val="22"/>
        </w:rPr>
        <w:t> </w:t>
      </w:r>
      <w:r>
        <w:rPr>
          <w:i/>
          <w:sz w:val="22"/>
        </w:rPr>
        <w:t>decision-making</w:t>
      </w:r>
      <w:r>
        <w:rPr>
          <w:i/>
          <w:spacing w:val="-7"/>
          <w:sz w:val="22"/>
        </w:rPr>
        <w:t> </w:t>
      </w:r>
      <w:r>
        <w:rPr>
          <w:i/>
          <w:sz w:val="22"/>
        </w:rPr>
        <w:t>and</w:t>
      </w:r>
      <w:r>
        <w:rPr>
          <w:i/>
          <w:spacing w:val="-7"/>
          <w:sz w:val="22"/>
        </w:rPr>
        <w:t> </w:t>
      </w:r>
      <w:r>
        <w:rPr>
          <w:i/>
          <w:sz w:val="22"/>
        </w:rPr>
        <w:t>access</w:t>
      </w:r>
      <w:r>
        <w:rPr>
          <w:i/>
          <w:spacing w:val="-6"/>
          <w:sz w:val="22"/>
        </w:rPr>
        <w:t> </w:t>
      </w:r>
      <w:r>
        <w:rPr>
          <w:i/>
          <w:sz w:val="22"/>
        </w:rPr>
        <w:t>to</w:t>
      </w:r>
      <w:r>
        <w:rPr>
          <w:i/>
          <w:spacing w:val="-9"/>
          <w:sz w:val="22"/>
        </w:rPr>
        <w:t> </w:t>
      </w:r>
      <w:r>
        <w:rPr>
          <w:i/>
          <w:sz w:val="22"/>
        </w:rPr>
        <w:t>remedies</w:t>
      </w:r>
      <w:r>
        <w:rPr>
          <w:i/>
          <w:spacing w:val="-7"/>
          <w:sz w:val="22"/>
        </w:rPr>
        <w:t> </w:t>
      </w:r>
      <w:r>
        <w:rPr>
          <w:i/>
          <w:sz w:val="22"/>
        </w:rPr>
        <w:t>for</w:t>
      </w:r>
      <w:r>
        <w:rPr>
          <w:i/>
          <w:spacing w:val="-5"/>
          <w:sz w:val="22"/>
        </w:rPr>
        <w:t> </w:t>
      </w:r>
      <w:r>
        <w:rPr>
          <w:i/>
          <w:sz w:val="22"/>
        </w:rPr>
        <w:t>rights</w:t>
      </w:r>
      <w:r>
        <w:rPr>
          <w:i/>
          <w:spacing w:val="-6"/>
          <w:sz w:val="22"/>
        </w:rPr>
        <w:t> </w:t>
      </w:r>
      <w:r>
        <w:rPr>
          <w:i/>
          <w:sz w:val="22"/>
        </w:rPr>
        <w:t>violations,</w:t>
      </w:r>
      <w:r>
        <w:rPr>
          <w:i/>
          <w:spacing w:val="-6"/>
          <w:sz w:val="22"/>
        </w:rPr>
        <w:t> </w:t>
      </w:r>
      <w:r>
        <w:rPr>
          <w:i/>
          <w:sz w:val="22"/>
        </w:rPr>
        <w:t>form the core principles of a rights-compliant system. Applying this system to adult consensual sex work requires that at every stage and transaction in sex work, autonomy</w:t>
      </w:r>
      <w:r>
        <w:rPr>
          <w:i/>
          <w:spacing w:val="-6"/>
          <w:sz w:val="22"/>
        </w:rPr>
        <w:t> </w:t>
      </w:r>
      <w:r>
        <w:rPr>
          <w:i/>
          <w:sz w:val="22"/>
        </w:rPr>
        <w:t>and</w:t>
      </w:r>
      <w:r>
        <w:rPr>
          <w:i/>
          <w:spacing w:val="-5"/>
          <w:sz w:val="22"/>
        </w:rPr>
        <w:t> </w:t>
      </w:r>
      <w:r>
        <w:rPr>
          <w:i/>
          <w:sz w:val="22"/>
        </w:rPr>
        <w:t>consent</w:t>
      </w:r>
      <w:r>
        <w:rPr>
          <w:i/>
          <w:spacing w:val="-2"/>
          <w:sz w:val="22"/>
        </w:rPr>
        <w:t> </w:t>
      </w:r>
      <w:r>
        <w:rPr>
          <w:i/>
          <w:sz w:val="22"/>
        </w:rPr>
        <w:t>are</w:t>
      </w:r>
      <w:r>
        <w:rPr>
          <w:i/>
          <w:spacing w:val="-6"/>
          <w:sz w:val="22"/>
        </w:rPr>
        <w:t> </w:t>
      </w:r>
      <w:r>
        <w:rPr>
          <w:i/>
          <w:sz w:val="22"/>
        </w:rPr>
        <w:t>respected</w:t>
      </w:r>
      <w:r>
        <w:rPr>
          <w:i/>
          <w:spacing w:val="-3"/>
          <w:sz w:val="22"/>
        </w:rPr>
        <w:t> </w:t>
      </w:r>
      <w:r>
        <w:rPr>
          <w:i/>
          <w:sz w:val="22"/>
        </w:rPr>
        <w:t>by</w:t>
      </w:r>
      <w:r>
        <w:rPr>
          <w:i/>
          <w:spacing w:val="-8"/>
          <w:sz w:val="22"/>
        </w:rPr>
        <w:t> </w:t>
      </w:r>
      <w:r>
        <w:rPr>
          <w:i/>
          <w:sz w:val="22"/>
        </w:rPr>
        <w:t>the</w:t>
      </w:r>
      <w:r>
        <w:rPr>
          <w:i/>
          <w:spacing w:val="-3"/>
          <w:sz w:val="22"/>
        </w:rPr>
        <w:t> </w:t>
      </w:r>
      <w:r>
        <w:rPr>
          <w:i/>
          <w:sz w:val="22"/>
        </w:rPr>
        <w:t>State</w:t>
      </w:r>
      <w:r>
        <w:rPr>
          <w:i/>
          <w:spacing w:val="-6"/>
          <w:sz w:val="22"/>
        </w:rPr>
        <w:t> </w:t>
      </w:r>
      <w:r>
        <w:rPr>
          <w:i/>
          <w:sz w:val="22"/>
        </w:rPr>
        <w:t>without</w:t>
      </w:r>
      <w:r>
        <w:rPr>
          <w:i/>
          <w:spacing w:val="-4"/>
          <w:sz w:val="22"/>
        </w:rPr>
        <w:t> </w:t>
      </w:r>
      <w:r>
        <w:rPr>
          <w:i/>
          <w:sz w:val="22"/>
        </w:rPr>
        <w:t>discrimination,</w:t>
      </w:r>
      <w:r>
        <w:rPr>
          <w:i/>
          <w:spacing w:val="-4"/>
          <w:sz w:val="22"/>
        </w:rPr>
        <w:t> </w:t>
      </w:r>
      <w:r>
        <w:rPr>
          <w:i/>
          <w:sz w:val="22"/>
        </w:rPr>
        <w:t>and</w:t>
      </w:r>
      <w:r>
        <w:rPr>
          <w:i/>
          <w:spacing w:val="-3"/>
          <w:sz w:val="22"/>
        </w:rPr>
        <w:t> </w:t>
      </w:r>
      <w:r>
        <w:rPr>
          <w:i/>
          <w:sz w:val="22"/>
        </w:rPr>
        <w:t>that the State ensures participation and access to</w:t>
      </w:r>
      <w:r>
        <w:rPr>
          <w:i/>
          <w:spacing w:val="-9"/>
          <w:sz w:val="22"/>
        </w:rPr>
        <w:t> </w:t>
      </w:r>
      <w:r>
        <w:rPr>
          <w:i/>
          <w:sz w:val="22"/>
        </w:rPr>
        <w:t>remedies</w:t>
      </w:r>
      <w:r>
        <w:rPr>
          <w:sz w:val="22"/>
        </w:rPr>
        <w:t>.”</w:t>
      </w:r>
      <w:r>
        <w:rPr>
          <w:sz w:val="22"/>
          <w:vertAlign w:val="superscript"/>
        </w:rPr>
        <w:t>8</w:t>
      </w:r>
    </w:p>
    <w:p>
      <w:pPr>
        <w:pStyle w:val="BodyText"/>
        <w:spacing w:before="5"/>
        <w:rPr>
          <w:sz w:val="25"/>
        </w:rPr>
      </w:pPr>
    </w:p>
    <w:p>
      <w:pPr>
        <w:pStyle w:val="BodyText"/>
        <w:spacing w:line="276" w:lineRule="auto"/>
        <w:ind w:left="820" w:right="114"/>
        <w:jc w:val="both"/>
      </w:pPr>
      <w:r>
        <w:rPr/>
        <w:t>Applying a human-rights-based approach to sex work clarifies that international human rights law cannot be interpreted in a way that further leads to rights violations. This is particularly important to recognise and guard against in the context of sex work, human rights, and the law.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1"/>
        </w:rPr>
      </w:pPr>
      <w:r>
        <w:rPr/>
        <w:pict>
          <v:rect style="position:absolute;margin-left:72.024002pt;margin-top:8.751568pt;width:144.020pt;height:.599980pt;mso-position-horizontal-relative:page;mso-position-vertical-relative:paragraph;z-index:-15727104;mso-wrap-distance-left:0;mso-wrap-distance-right:0" filled="true" fillcolor="#000000" stroked="false">
            <v:fill type="solid"/>
            <w10:wrap type="topAndBottom"/>
          </v:rect>
        </w:pict>
      </w:r>
    </w:p>
    <w:p>
      <w:pPr>
        <w:pStyle w:val="ListParagraph"/>
        <w:numPr>
          <w:ilvl w:val="0"/>
          <w:numId w:val="3"/>
        </w:numPr>
        <w:tabs>
          <w:tab w:pos="228" w:val="left" w:leader="none"/>
        </w:tabs>
        <w:spacing w:line="249" w:lineRule="auto" w:before="57" w:after="0"/>
        <w:ind w:left="100" w:right="187" w:firstLine="0"/>
        <w:jc w:val="left"/>
        <w:rPr>
          <w:sz w:val="18"/>
        </w:rPr>
      </w:pPr>
      <w:r>
        <w:rPr>
          <w:sz w:val="18"/>
        </w:rPr>
        <w:t>Global Network of Sex Work Projects, Consensus Statement on Sex Work, Human Rights, and the Law, December 2013. Available at:</w:t>
      </w:r>
      <w:r>
        <w:rPr>
          <w:spacing w:val="-5"/>
          <w:sz w:val="18"/>
        </w:rPr>
        <w:t> </w:t>
      </w:r>
      <w:r>
        <w:rPr>
          <w:sz w:val="18"/>
        </w:rPr>
        <w:t>https:/</w:t>
      </w:r>
      <w:hyperlink r:id="rId16">
        <w:r>
          <w:rPr>
            <w:sz w:val="18"/>
          </w:rPr>
          <w:t>/www.n</w:t>
        </w:r>
      </w:hyperlink>
      <w:r>
        <w:rPr>
          <w:sz w:val="18"/>
        </w:rPr>
        <w:t>s</w:t>
      </w:r>
      <w:hyperlink r:id="rId16">
        <w:r>
          <w:rPr>
            <w:sz w:val="18"/>
          </w:rPr>
          <w:t>wp.org/sites/nswp.org/files/ConStat%20PDF%20EngSum.pdf</w:t>
        </w:r>
      </w:hyperlink>
    </w:p>
    <w:p>
      <w:pPr>
        <w:pStyle w:val="ListParagraph"/>
        <w:numPr>
          <w:ilvl w:val="0"/>
          <w:numId w:val="3"/>
        </w:numPr>
        <w:tabs>
          <w:tab w:pos="228" w:val="left" w:leader="none"/>
        </w:tabs>
        <w:spacing w:line="237" w:lineRule="exact" w:before="0" w:after="0"/>
        <w:ind w:left="227" w:right="0" w:hanging="128"/>
        <w:jc w:val="left"/>
        <w:rPr>
          <w:sz w:val="18"/>
        </w:rPr>
      </w:pPr>
      <w:r>
        <w:rPr>
          <w:sz w:val="18"/>
        </w:rPr>
        <w:t>Tripti Tandon, Gabriel Armas-Cardona, Anand Grover, Sex Work and Trafficking: Can Human Rights Lead Us</w:t>
      </w:r>
      <w:r>
        <w:rPr>
          <w:spacing w:val="-24"/>
          <w:sz w:val="18"/>
        </w:rPr>
        <w:t> </w:t>
      </w:r>
      <w:r>
        <w:rPr>
          <w:sz w:val="18"/>
        </w:rPr>
        <w:t>Out</w:t>
      </w:r>
    </w:p>
    <w:p>
      <w:pPr>
        <w:spacing w:before="9"/>
        <w:ind w:left="100" w:right="401" w:firstLine="0"/>
        <w:jc w:val="left"/>
        <w:rPr>
          <w:sz w:val="18"/>
        </w:rPr>
      </w:pPr>
      <w:r>
        <w:rPr>
          <w:sz w:val="18"/>
        </w:rPr>
        <w:t>of the Impasse?, Health and Human Rights Journal, October 2014. Available at: https:/</w:t>
      </w:r>
      <w:hyperlink r:id="rId17">
        <w:r>
          <w:rPr>
            <w:sz w:val="18"/>
          </w:rPr>
          <w:t>/www.h</w:t>
        </w:r>
      </w:hyperlink>
      <w:r>
        <w:rPr>
          <w:sz w:val="18"/>
        </w:rPr>
        <w:t>h</w:t>
      </w:r>
      <w:hyperlink r:id="rId17">
        <w:r>
          <w:rPr>
            <w:sz w:val="18"/>
          </w:rPr>
          <w:t>rjournal.org/2014/10/sex-work-and-trafficking-can-human-rights-lead-us-out-of-the-impasse/#_ftn11</w:t>
        </w:r>
      </w:hyperlink>
    </w:p>
    <w:sectPr>
      <w:pgSz w:w="12240" w:h="15840"/>
      <w:pgMar w:header="0" w:footer="801" w:top="1360" w:bottom="100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0.979980pt;margin-top:740.925781pt;width:12.15pt;height:14.35pt;mso-position-horizontal-relative:page;mso-position-vertical-relative:page;z-index:-15796224" type="#_x0000_t202" filled="false" stroked="false">
          <v:textbox inset="0,0,0,0">
            <w:txbxContent>
              <w:p>
                <w:pPr>
                  <w:pStyle w:val="BodyText"/>
                  <w:spacing w:before="13"/>
                  <w:ind w:left="60"/>
                </w:pPr>
                <w:r>
                  <w:rPr/>
                  <w:fldChar w:fldCharType="begin"/>
                </w:r>
                <w:r>
                  <w:rPr>
                    <w:w w:val="100"/>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5"/>
      <w:numFmt w:val="decimal"/>
      <w:lvlText w:val="%1"/>
      <w:lvlJc w:val="left"/>
      <w:pPr>
        <w:ind w:left="100" w:hanging="132"/>
        <w:jc w:val="left"/>
      </w:pPr>
      <w:rPr>
        <w:rFonts w:hint="default" w:ascii="Arial" w:hAnsi="Arial" w:eastAsia="Arial" w:cs="Arial"/>
        <w:w w:val="99"/>
        <w:position w:val="8"/>
        <w:sz w:val="14"/>
        <w:szCs w:val="14"/>
        <w:lang w:val="en-US" w:eastAsia="en-US" w:bidi="ar-SA"/>
      </w:rPr>
    </w:lvl>
    <w:lvl w:ilvl="1">
      <w:start w:val="0"/>
      <w:numFmt w:val="bullet"/>
      <w:lvlText w:val="•"/>
      <w:lvlJc w:val="left"/>
      <w:pPr>
        <w:ind w:left="1048" w:hanging="132"/>
      </w:pPr>
      <w:rPr>
        <w:rFonts w:hint="default"/>
        <w:lang w:val="en-US" w:eastAsia="en-US" w:bidi="ar-SA"/>
      </w:rPr>
    </w:lvl>
    <w:lvl w:ilvl="2">
      <w:start w:val="0"/>
      <w:numFmt w:val="bullet"/>
      <w:lvlText w:val="•"/>
      <w:lvlJc w:val="left"/>
      <w:pPr>
        <w:ind w:left="1996" w:hanging="132"/>
      </w:pPr>
      <w:rPr>
        <w:rFonts w:hint="default"/>
        <w:lang w:val="en-US" w:eastAsia="en-US" w:bidi="ar-SA"/>
      </w:rPr>
    </w:lvl>
    <w:lvl w:ilvl="3">
      <w:start w:val="0"/>
      <w:numFmt w:val="bullet"/>
      <w:lvlText w:val="•"/>
      <w:lvlJc w:val="left"/>
      <w:pPr>
        <w:ind w:left="2944" w:hanging="132"/>
      </w:pPr>
      <w:rPr>
        <w:rFonts w:hint="default"/>
        <w:lang w:val="en-US" w:eastAsia="en-US" w:bidi="ar-SA"/>
      </w:rPr>
    </w:lvl>
    <w:lvl w:ilvl="4">
      <w:start w:val="0"/>
      <w:numFmt w:val="bullet"/>
      <w:lvlText w:val="•"/>
      <w:lvlJc w:val="left"/>
      <w:pPr>
        <w:ind w:left="3892" w:hanging="132"/>
      </w:pPr>
      <w:rPr>
        <w:rFonts w:hint="default"/>
        <w:lang w:val="en-US" w:eastAsia="en-US" w:bidi="ar-SA"/>
      </w:rPr>
    </w:lvl>
    <w:lvl w:ilvl="5">
      <w:start w:val="0"/>
      <w:numFmt w:val="bullet"/>
      <w:lvlText w:val="•"/>
      <w:lvlJc w:val="left"/>
      <w:pPr>
        <w:ind w:left="4840" w:hanging="132"/>
      </w:pPr>
      <w:rPr>
        <w:rFonts w:hint="default"/>
        <w:lang w:val="en-US" w:eastAsia="en-US" w:bidi="ar-SA"/>
      </w:rPr>
    </w:lvl>
    <w:lvl w:ilvl="6">
      <w:start w:val="0"/>
      <w:numFmt w:val="bullet"/>
      <w:lvlText w:val="•"/>
      <w:lvlJc w:val="left"/>
      <w:pPr>
        <w:ind w:left="5788" w:hanging="132"/>
      </w:pPr>
      <w:rPr>
        <w:rFonts w:hint="default"/>
        <w:lang w:val="en-US" w:eastAsia="en-US" w:bidi="ar-SA"/>
      </w:rPr>
    </w:lvl>
    <w:lvl w:ilvl="7">
      <w:start w:val="0"/>
      <w:numFmt w:val="bullet"/>
      <w:lvlText w:val="•"/>
      <w:lvlJc w:val="left"/>
      <w:pPr>
        <w:ind w:left="6736" w:hanging="132"/>
      </w:pPr>
      <w:rPr>
        <w:rFonts w:hint="default"/>
        <w:lang w:val="en-US" w:eastAsia="en-US" w:bidi="ar-SA"/>
      </w:rPr>
    </w:lvl>
    <w:lvl w:ilvl="8">
      <w:start w:val="0"/>
      <w:numFmt w:val="bullet"/>
      <w:lvlText w:val="•"/>
      <w:lvlJc w:val="left"/>
      <w:pPr>
        <w:ind w:left="7684" w:hanging="132"/>
      </w:pPr>
      <w:rPr>
        <w:rFonts w:hint="default"/>
        <w:lang w:val="en-US" w:eastAsia="en-US" w:bidi="ar-SA"/>
      </w:rPr>
    </w:lvl>
  </w:abstractNum>
  <w:abstractNum w:abstractNumId="1">
    <w:multiLevelType w:val="hybridMultilevel"/>
    <w:lvl w:ilvl="0">
      <w:start w:val="1"/>
      <w:numFmt w:val="decimal"/>
      <w:lvlText w:val="%1"/>
      <w:lvlJc w:val="left"/>
      <w:pPr>
        <w:ind w:left="100" w:hanging="132"/>
        <w:jc w:val="left"/>
      </w:pPr>
      <w:rPr>
        <w:rFonts w:hint="default" w:ascii="Arial" w:hAnsi="Arial" w:eastAsia="Arial" w:cs="Arial"/>
        <w:w w:val="99"/>
        <w:position w:val="8"/>
        <w:sz w:val="14"/>
        <w:szCs w:val="14"/>
        <w:lang w:val="en-US" w:eastAsia="en-US" w:bidi="ar-SA"/>
      </w:rPr>
    </w:lvl>
    <w:lvl w:ilvl="1">
      <w:start w:val="0"/>
      <w:numFmt w:val="bullet"/>
      <w:lvlText w:val="•"/>
      <w:lvlJc w:val="left"/>
      <w:pPr>
        <w:ind w:left="1048" w:hanging="132"/>
      </w:pPr>
      <w:rPr>
        <w:rFonts w:hint="default"/>
        <w:lang w:val="en-US" w:eastAsia="en-US" w:bidi="ar-SA"/>
      </w:rPr>
    </w:lvl>
    <w:lvl w:ilvl="2">
      <w:start w:val="0"/>
      <w:numFmt w:val="bullet"/>
      <w:lvlText w:val="•"/>
      <w:lvlJc w:val="left"/>
      <w:pPr>
        <w:ind w:left="1996" w:hanging="132"/>
      </w:pPr>
      <w:rPr>
        <w:rFonts w:hint="default"/>
        <w:lang w:val="en-US" w:eastAsia="en-US" w:bidi="ar-SA"/>
      </w:rPr>
    </w:lvl>
    <w:lvl w:ilvl="3">
      <w:start w:val="0"/>
      <w:numFmt w:val="bullet"/>
      <w:lvlText w:val="•"/>
      <w:lvlJc w:val="left"/>
      <w:pPr>
        <w:ind w:left="2944" w:hanging="132"/>
      </w:pPr>
      <w:rPr>
        <w:rFonts w:hint="default"/>
        <w:lang w:val="en-US" w:eastAsia="en-US" w:bidi="ar-SA"/>
      </w:rPr>
    </w:lvl>
    <w:lvl w:ilvl="4">
      <w:start w:val="0"/>
      <w:numFmt w:val="bullet"/>
      <w:lvlText w:val="•"/>
      <w:lvlJc w:val="left"/>
      <w:pPr>
        <w:ind w:left="3892" w:hanging="132"/>
      </w:pPr>
      <w:rPr>
        <w:rFonts w:hint="default"/>
        <w:lang w:val="en-US" w:eastAsia="en-US" w:bidi="ar-SA"/>
      </w:rPr>
    </w:lvl>
    <w:lvl w:ilvl="5">
      <w:start w:val="0"/>
      <w:numFmt w:val="bullet"/>
      <w:lvlText w:val="•"/>
      <w:lvlJc w:val="left"/>
      <w:pPr>
        <w:ind w:left="4840" w:hanging="132"/>
      </w:pPr>
      <w:rPr>
        <w:rFonts w:hint="default"/>
        <w:lang w:val="en-US" w:eastAsia="en-US" w:bidi="ar-SA"/>
      </w:rPr>
    </w:lvl>
    <w:lvl w:ilvl="6">
      <w:start w:val="0"/>
      <w:numFmt w:val="bullet"/>
      <w:lvlText w:val="•"/>
      <w:lvlJc w:val="left"/>
      <w:pPr>
        <w:ind w:left="5788" w:hanging="132"/>
      </w:pPr>
      <w:rPr>
        <w:rFonts w:hint="default"/>
        <w:lang w:val="en-US" w:eastAsia="en-US" w:bidi="ar-SA"/>
      </w:rPr>
    </w:lvl>
    <w:lvl w:ilvl="7">
      <w:start w:val="0"/>
      <w:numFmt w:val="bullet"/>
      <w:lvlText w:val="•"/>
      <w:lvlJc w:val="left"/>
      <w:pPr>
        <w:ind w:left="6736" w:hanging="132"/>
      </w:pPr>
      <w:rPr>
        <w:rFonts w:hint="default"/>
        <w:lang w:val="en-US" w:eastAsia="en-US" w:bidi="ar-SA"/>
      </w:rPr>
    </w:lvl>
    <w:lvl w:ilvl="8">
      <w:start w:val="0"/>
      <w:numFmt w:val="bullet"/>
      <w:lvlText w:val="•"/>
      <w:lvlJc w:val="left"/>
      <w:pPr>
        <w:ind w:left="7684" w:hanging="132"/>
      </w:pPr>
      <w:rPr>
        <w:rFonts w:hint="default"/>
        <w:lang w:val="en-US" w:eastAsia="en-US" w:bidi="ar-SA"/>
      </w:rPr>
    </w:lvl>
  </w:abstractNum>
  <w:abstractNum w:abstractNumId="0">
    <w:multiLevelType w:val="hybridMultilevel"/>
    <w:lvl w:ilvl="0">
      <w:start w:val="1"/>
      <w:numFmt w:val="decimal"/>
      <w:lvlText w:val="%1."/>
      <w:lvlJc w:val="left"/>
      <w:pPr>
        <w:ind w:left="820" w:hanging="360"/>
        <w:jc w:val="left"/>
      </w:pPr>
      <w:rPr>
        <w:rFonts w:hint="default" w:ascii="Arial" w:hAnsi="Arial" w:eastAsia="Arial" w:cs="Arial"/>
        <w:spacing w:val="-1"/>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37"/>
      <w:ind w:left="122" w:right="142"/>
      <w:jc w:val="center"/>
      <w:outlineLvl w:val="1"/>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10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https://www.ohchr.org/Documents/Issues/Business/UNGPsBHRnext10/inputs/Gender_consultation_summary.pdf" TargetMode="External"/><Relationship Id="rId9" Type="http://schemas.openxmlformats.org/officeDocument/2006/relationships/hyperlink" Target="https://www.ohchr.org/Documents/Issues/Business/UNGPsBHRnext10/background_note.pdf" TargetMode="External"/><Relationship Id="rId10" Type="http://schemas.openxmlformats.org/officeDocument/2006/relationships/hyperlink" Target="http://www.nswp.org/resource/the-impact-criminalisation-sex-workers-" TargetMode="External"/><Relationship Id="rId11" Type="http://schemas.openxmlformats.org/officeDocument/2006/relationships/hyperlink" Target="https://durbar.org/" TargetMode="External"/><Relationship Id="rId12" Type="http://schemas.openxmlformats.org/officeDocument/2006/relationships/hyperlink" Target="https://www.ammar.org.ar/" TargetMode="External"/><Relationship Id="rId13" Type="http://schemas.openxmlformats.org/officeDocument/2006/relationships/hyperlink" Target="http://www.thelancet.com/journals/lancet/article/PIIS0140-6736%2814%2960931-4/abstract" TargetMode="External"/><Relationship Id="rId14" Type="http://schemas.openxmlformats.org/officeDocument/2006/relationships/hyperlink" Target="http://www.nswp.org/sites/nswp.org/files/policy_brief_sex_work_as_work_nswp_-_2017.pdf" TargetMode="External"/><Relationship Id="rId15" Type="http://schemas.openxmlformats.org/officeDocument/2006/relationships/hyperlink" Target="http://www.iwraw-ap.org/wp-" TargetMode="External"/><Relationship Id="rId16" Type="http://schemas.openxmlformats.org/officeDocument/2006/relationships/hyperlink" Target="http://www.nswp.org/sites/nswp.org/files/ConStat%20PDF%20EngSum.pdf" TargetMode="External"/><Relationship Id="rId17" Type="http://schemas.openxmlformats.org/officeDocument/2006/relationships/hyperlink" Target="http://www.hhrjournal.org/2014/10/sex-work-and-trafficking-can-human-rights-lead-us-out-of-the-impasse/#_ftn11"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IWRAW APAC</dc:creator>
  <dcterms:created xsi:type="dcterms:W3CDTF">2021-05-05T04:45:29Z</dcterms:created>
  <dcterms:modified xsi:type="dcterms:W3CDTF">2021-05-05T04:45:29Z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Creator">
    <vt:lpwstr>Microsoft® Word for Microsoft 365</vt:lpwstr>
  </property>
  <property fmtid="{D5CDD505-2E9C-101B-9397-08002B2CF9AE}" pid="4" name="LastSaved">
    <vt:filetime>2021-05-05T00:00:00Z</vt:filetime>
  </property>
</Properties>
</file>