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09D309A" w:rsidR="001725D8" w:rsidRDefault="005216A2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Civil Society </w:t>
      </w:r>
      <w:r w:rsidR="002B3058">
        <w:rPr>
          <w:b/>
        </w:rPr>
        <w:t>Statement in Support of Efforts to Decriminalize Sex Work in Malta and Show Solidarity to the Global Sex Workers Movement</w:t>
      </w:r>
    </w:p>
    <w:p w14:paraId="38F55D11" w14:textId="77777777" w:rsidR="005216A2" w:rsidRDefault="005216A2">
      <w:pPr>
        <w:jc w:val="both"/>
      </w:pPr>
    </w:p>
    <w:p w14:paraId="00000003" w14:textId="7B4C42A1" w:rsidR="001725D8" w:rsidRDefault="002B3058">
      <w:pPr>
        <w:jc w:val="both"/>
      </w:pPr>
      <w:r>
        <w:t>We represent global human rights</w:t>
      </w:r>
      <w:r w:rsidR="00F07814">
        <w:t xml:space="preserve"> </w:t>
      </w:r>
      <w:r>
        <w:t xml:space="preserve">and women’s rights organizations who have formed an alliance to advocate for the rights of sex workers. Collectively, we work on </w:t>
      </w:r>
      <w:proofErr w:type="gramStart"/>
      <w:r>
        <w:t>a number of</w:t>
      </w:r>
      <w:proofErr w:type="gramEnd"/>
      <w:r>
        <w:t xml:space="preserve"> issues, including women’s empowerment and human rights, gender equality, sexual and reproductive health and rights, bodily autonomy, women’s </w:t>
      </w:r>
      <w:proofErr w:type="spellStart"/>
      <w:r>
        <w:t>labour</w:t>
      </w:r>
      <w:proofErr w:type="spellEnd"/>
      <w:r>
        <w:t xml:space="preserve"> migration, gender-based violence, and many more.</w:t>
      </w:r>
    </w:p>
    <w:p w14:paraId="00000004" w14:textId="77777777" w:rsidR="001725D8" w:rsidRDefault="001725D8">
      <w:pPr>
        <w:jc w:val="both"/>
      </w:pPr>
    </w:p>
    <w:p w14:paraId="00000005" w14:textId="5EFD4F13" w:rsidR="001725D8" w:rsidRDefault="002B3058">
      <w:pPr>
        <w:jc w:val="both"/>
      </w:pPr>
      <w:r>
        <w:t xml:space="preserve">We work in all regions of the world and with </w:t>
      </w:r>
      <w:r>
        <w:rPr>
          <w:highlight w:val="white"/>
        </w:rPr>
        <w:t>persons/communities of diverse genders and sexualities, including those who are trans and/or non-binary</w:t>
      </w:r>
      <w:r>
        <w:rPr>
          <w:color w:val="3C4043"/>
          <w:highlight w:val="white"/>
        </w:rPr>
        <w:t xml:space="preserve">; </w:t>
      </w:r>
      <w:r>
        <w:t xml:space="preserve">those in the global south who have borne the brunt of colonialism, economic inequality, and patriarchal oppression; women from cities, mountains, villages and hamlets, and women working at home, on the streets, in the fields, in factories and offices. </w:t>
      </w:r>
    </w:p>
    <w:p w14:paraId="00000006" w14:textId="77777777" w:rsidR="001725D8" w:rsidRDefault="001725D8">
      <w:pPr>
        <w:jc w:val="both"/>
      </w:pPr>
    </w:p>
    <w:p w14:paraId="00000007" w14:textId="5814CD6C" w:rsidR="001725D8" w:rsidRDefault="002B3058">
      <w:pPr>
        <w:jc w:val="both"/>
      </w:pPr>
      <w:r>
        <w:t xml:space="preserve">We stand in solidarity with sex workers and the global sex worker rights </w:t>
      </w:r>
      <w:r w:rsidR="005216A2">
        <w:t>movement,</w:t>
      </w:r>
      <w:r>
        <w:t xml:space="preserve"> and we join with their demands for </w:t>
      </w:r>
      <w:proofErr w:type="spellStart"/>
      <w:r>
        <w:t>decriminalisation</w:t>
      </w:r>
      <w:proofErr w:type="spellEnd"/>
      <w:r>
        <w:t xml:space="preserve"> of sex work and recognition of their full range of civil, cultural, economic, </w:t>
      </w:r>
      <w:proofErr w:type="gramStart"/>
      <w:r>
        <w:t>political</w:t>
      </w:r>
      <w:proofErr w:type="gramEnd"/>
      <w:r>
        <w:t xml:space="preserve"> and social rights. Therefore, we </w:t>
      </w:r>
      <w:proofErr w:type="spellStart"/>
      <w:r>
        <w:t>emphasise</w:t>
      </w:r>
      <w:proofErr w:type="spellEnd"/>
      <w:r>
        <w:t xml:space="preserve"> the following: </w:t>
      </w:r>
    </w:p>
    <w:p w14:paraId="00000008" w14:textId="77777777" w:rsidR="001725D8" w:rsidRDefault="001725D8">
      <w:pPr>
        <w:jc w:val="both"/>
      </w:pPr>
    </w:p>
    <w:p w14:paraId="0000000A" w14:textId="3114A363" w:rsidR="001725D8" w:rsidRDefault="002B3058" w:rsidP="005216A2">
      <w:pPr>
        <w:jc w:val="both"/>
      </w:pPr>
      <w:proofErr w:type="spellStart"/>
      <w:r>
        <w:t>Decriminalisation</w:t>
      </w:r>
      <w:proofErr w:type="spellEnd"/>
      <w:r>
        <w:t xml:space="preserve"> of sex work is a longstanding demand of the global sex workers’ rights movement and a policy approach that has the most rights-affirming impact on sex workers.</w:t>
      </w:r>
      <w:r>
        <w:rPr>
          <w:vertAlign w:val="superscript"/>
        </w:rPr>
        <w:footnoteReference w:id="1"/>
      </w:r>
      <w:r>
        <w:t xml:space="preserve"> </w:t>
      </w:r>
      <w:proofErr w:type="spellStart"/>
      <w:r>
        <w:t>Decriminalisation</w:t>
      </w:r>
      <w:proofErr w:type="spellEnd"/>
      <w:r>
        <w:t xml:space="preserve"> means the removal of all laws and policies that </w:t>
      </w:r>
      <w:proofErr w:type="gramStart"/>
      <w:r>
        <w:t>make sex</w:t>
      </w:r>
      <w:proofErr w:type="gramEnd"/>
      <w:r>
        <w:t xml:space="preserve"> work a criminal offence or regulatory or </w:t>
      </w:r>
      <w:r w:rsidR="005216A2">
        <w:t>misdemeanor</w:t>
      </w:r>
      <w:r>
        <w:t xml:space="preserve"> offence (such as those prohibiting selling, soliciting, manifesting, buying or facilitating sex work or living off the proceeds).</w:t>
      </w:r>
      <w:r>
        <w:rPr>
          <w:vertAlign w:val="superscript"/>
        </w:rPr>
        <w:footnoteReference w:id="2"/>
      </w:r>
    </w:p>
    <w:p w14:paraId="713E0FD6" w14:textId="77777777" w:rsidR="005216A2" w:rsidRDefault="005216A2" w:rsidP="005216A2">
      <w:pPr>
        <w:jc w:val="both"/>
      </w:pPr>
    </w:p>
    <w:p w14:paraId="0000000B" w14:textId="7FCCDCC3" w:rsidR="001725D8" w:rsidRDefault="002B3058" w:rsidP="005216A2">
      <w:pPr>
        <w:jc w:val="both"/>
      </w:pPr>
      <w:r>
        <w:t xml:space="preserve">Leading global </w:t>
      </w:r>
      <w:proofErr w:type="spellStart"/>
      <w:r>
        <w:t>organisations</w:t>
      </w:r>
      <w:proofErr w:type="spellEnd"/>
      <w:r>
        <w:t xml:space="preserve"> working to ensure protection of human rights, women’s rights and the right to health have joined the call for </w:t>
      </w:r>
      <w:proofErr w:type="spellStart"/>
      <w:r>
        <w:t>decriminalisation</w:t>
      </w:r>
      <w:proofErr w:type="spellEnd"/>
      <w:r>
        <w:t xml:space="preserve"> of sex work: </w:t>
      </w:r>
      <w:hyperlink r:id="rId7">
        <w:proofErr w:type="spellStart"/>
        <w:r>
          <w:rPr>
            <w:color w:val="1155CC"/>
            <w:u w:val="single"/>
          </w:rPr>
          <w:t>Medicins</w:t>
        </w:r>
        <w:proofErr w:type="spellEnd"/>
        <w:r>
          <w:rPr>
            <w:color w:val="1155CC"/>
            <w:u w:val="single"/>
          </w:rPr>
          <w:t xml:space="preserve"> du Monde</w:t>
        </w:r>
      </w:hyperlink>
      <w:r>
        <w:rPr>
          <w:color w:val="1155CC"/>
        </w:rPr>
        <w:t xml:space="preserve">, </w:t>
      </w:r>
      <w:hyperlink r:id="rId8">
        <w:r>
          <w:rPr>
            <w:color w:val="1155CC"/>
            <w:u w:val="single"/>
          </w:rPr>
          <w:t>Amnesty International</w:t>
        </w:r>
      </w:hyperlink>
      <w:r>
        <w:rPr>
          <w:color w:val="1155CC"/>
        </w:rPr>
        <w:t>,</w:t>
      </w:r>
      <w:hyperlink r:id="rId9">
        <w:r>
          <w:rPr>
            <w:color w:val="1155CC"/>
          </w:rPr>
          <w:t xml:space="preserve"> </w:t>
        </w:r>
      </w:hyperlink>
      <w:hyperlink r:id="rId10">
        <w:r>
          <w:rPr>
            <w:color w:val="1155CC"/>
            <w:u w:val="single"/>
          </w:rPr>
          <w:t>Human Rights Watch</w:t>
        </w:r>
      </w:hyperlink>
      <w:r>
        <w:t>, the</w:t>
      </w:r>
      <w:hyperlink r:id="rId11">
        <w:r>
          <w:t xml:space="preserve"> </w:t>
        </w:r>
      </w:hyperlink>
      <w:hyperlink r:id="rId12">
        <w:r>
          <w:rPr>
            <w:color w:val="1155CC"/>
            <w:u w:val="single"/>
          </w:rPr>
          <w:t>Global Commission on HIV and the Law</w:t>
        </w:r>
      </w:hyperlink>
      <w:r>
        <w:rPr>
          <w:color w:val="1155CC"/>
        </w:rPr>
        <w:t>,</w:t>
      </w:r>
      <w:hyperlink r:id="rId13">
        <w:r>
          <w:rPr>
            <w:color w:val="1155CC"/>
          </w:rPr>
          <w:t xml:space="preserve"> </w:t>
        </w:r>
      </w:hyperlink>
      <w:hyperlink r:id="rId14">
        <w:r>
          <w:rPr>
            <w:color w:val="1155CC"/>
            <w:u w:val="single"/>
          </w:rPr>
          <w:t>Open Society Foundations</w:t>
        </w:r>
      </w:hyperlink>
      <w:r>
        <w:t>, the</w:t>
      </w:r>
      <w:hyperlink r:id="rId15">
        <w:r>
          <w:t xml:space="preserve"> </w:t>
        </w:r>
      </w:hyperlink>
      <w:hyperlink r:id="rId16">
        <w:r>
          <w:rPr>
            <w:color w:val="1155CC"/>
            <w:u w:val="single"/>
          </w:rPr>
          <w:t>Global Network of People Living with HIV</w:t>
        </w:r>
      </w:hyperlink>
      <w:r>
        <w:t>, the</w:t>
      </w:r>
      <w:hyperlink r:id="rId17">
        <w:r>
          <w:t xml:space="preserve"> </w:t>
        </w:r>
      </w:hyperlink>
      <w:hyperlink r:id="rId18">
        <w:r>
          <w:rPr>
            <w:color w:val="1155CC"/>
            <w:u w:val="single"/>
          </w:rPr>
          <w:t>Global Action for Gay Men’s Health &amp; Rights (</w:t>
        </w:r>
        <w:proofErr w:type="spellStart"/>
        <w:r>
          <w:rPr>
            <w:color w:val="1155CC"/>
            <w:u w:val="single"/>
          </w:rPr>
          <w:t>MPact</w:t>
        </w:r>
        <w:proofErr w:type="spellEnd"/>
        <w:r>
          <w:rPr>
            <w:color w:val="1155CC"/>
            <w:u w:val="single"/>
          </w:rPr>
          <w:t>)</w:t>
        </w:r>
      </w:hyperlink>
      <w:r>
        <w:t xml:space="preserve">, </w:t>
      </w:r>
      <w:hyperlink r:id="rId19">
        <w:r>
          <w:rPr>
            <w:color w:val="1155CC"/>
            <w:u w:val="single"/>
          </w:rPr>
          <w:t>Frontline AIDS</w:t>
        </w:r>
      </w:hyperlink>
      <w:r>
        <w:t xml:space="preserve"> , the International Women’s Health Coalition, the</w:t>
      </w:r>
      <w:hyperlink r:id="rId20">
        <w:r>
          <w:t xml:space="preserve"> </w:t>
        </w:r>
      </w:hyperlink>
      <w:hyperlink r:id="rId21">
        <w:r>
          <w:rPr>
            <w:color w:val="1155CC"/>
            <w:u w:val="single"/>
          </w:rPr>
          <w:t>Association for Women’s Rights in Development (AWID)</w:t>
        </w:r>
      </w:hyperlink>
      <w:r>
        <w:t>, the</w:t>
      </w:r>
      <w:hyperlink r:id="rId22">
        <w:r>
          <w:t xml:space="preserve"> </w:t>
        </w:r>
      </w:hyperlink>
      <w:hyperlink r:id="rId23">
        <w:r>
          <w:rPr>
            <w:color w:val="1155CC"/>
            <w:u w:val="single"/>
          </w:rPr>
          <w:t>American Jewish World Service</w:t>
        </w:r>
      </w:hyperlink>
      <w:r>
        <w:t>, the</w:t>
      </w:r>
      <w:hyperlink r:id="rId24">
        <w:r>
          <w:t xml:space="preserve"> </w:t>
        </w:r>
      </w:hyperlink>
      <w:hyperlink r:id="rId25">
        <w:r>
          <w:rPr>
            <w:color w:val="1155CC"/>
            <w:u w:val="single"/>
          </w:rPr>
          <w:t>Global Alliance Against Traffic in Women (GAATW)</w:t>
        </w:r>
      </w:hyperlink>
      <w:r>
        <w:t>,</w:t>
      </w:r>
      <w:hyperlink r:id="rId26">
        <w:r>
          <w:t xml:space="preserve"> </w:t>
        </w:r>
      </w:hyperlink>
      <w:hyperlink r:id="rId27">
        <w:r>
          <w:rPr>
            <w:color w:val="1155CC"/>
            <w:u w:val="single"/>
          </w:rPr>
          <w:t>The Lancet</w:t>
        </w:r>
      </w:hyperlink>
      <w:r>
        <w:t xml:space="preserve">, The Global Fund for Women, the Elton John Foundation, the </w:t>
      </w:r>
      <w:hyperlink r:id="rId28">
        <w:r>
          <w:rPr>
            <w:color w:val="1155CC"/>
            <w:u w:val="single"/>
          </w:rPr>
          <w:t>International Community of Women Living with HIV</w:t>
        </w:r>
      </w:hyperlink>
      <w:r>
        <w:t xml:space="preserve">, </w:t>
      </w:r>
      <w:r>
        <w:rPr>
          <w:color w:val="222222"/>
          <w:highlight w:val="white"/>
        </w:rPr>
        <w:t xml:space="preserve"> the </w:t>
      </w:r>
      <w:hyperlink r:id="rId29">
        <w:r>
          <w:rPr>
            <w:color w:val="1155CC"/>
            <w:highlight w:val="white"/>
            <w:u w:val="single"/>
          </w:rPr>
          <w:t>Global Health Justice Partnership of the Yale Law School and Yale School of Public Health</w:t>
        </w:r>
      </w:hyperlink>
      <w:r>
        <w:rPr>
          <w:color w:val="1F497D"/>
          <w:highlight w:val="white"/>
        </w:rPr>
        <w:t xml:space="preserve">, </w:t>
      </w:r>
      <w:hyperlink r:id="rId30">
        <w:r>
          <w:rPr>
            <w:color w:val="1155CC"/>
            <w:highlight w:val="white"/>
            <w:u w:val="single"/>
          </w:rPr>
          <w:t>STOPAIDS</w:t>
        </w:r>
      </w:hyperlink>
      <w:r>
        <w:rPr>
          <w:color w:val="222222"/>
          <w:highlight w:val="white"/>
        </w:rPr>
        <w:t xml:space="preserve"> </w:t>
      </w:r>
      <w:r>
        <w:rPr>
          <w:color w:val="1F497D"/>
          <w:highlight w:val="white"/>
        </w:rPr>
        <w:t xml:space="preserve">and </w:t>
      </w:r>
      <w:hyperlink r:id="rId31">
        <w:r>
          <w:rPr>
            <w:color w:val="1155CC"/>
            <w:highlight w:val="white"/>
            <w:u w:val="single"/>
          </w:rPr>
          <w:t>ILGA World</w:t>
        </w:r>
      </w:hyperlink>
      <w:r>
        <w:t>.</w:t>
      </w:r>
    </w:p>
    <w:p w14:paraId="1356B288" w14:textId="77777777" w:rsidR="005216A2" w:rsidRDefault="005216A2" w:rsidP="005216A2">
      <w:pPr>
        <w:jc w:val="both"/>
      </w:pPr>
    </w:p>
    <w:p w14:paraId="2C985A7D" w14:textId="77777777" w:rsidR="005216A2" w:rsidRDefault="002B3058" w:rsidP="005216A2">
      <w:pPr>
        <w:jc w:val="both"/>
      </w:pPr>
      <w:r>
        <w:t xml:space="preserve">At the level of the United Nations, UNAIDS and 11 co-sponsor agencies reaffirmed their position on </w:t>
      </w:r>
      <w:proofErr w:type="spellStart"/>
      <w:r>
        <w:t>decriminalisation</w:t>
      </w:r>
      <w:proofErr w:type="spellEnd"/>
      <w:r>
        <w:t xml:space="preserve"> of sex work in June 2017 in the</w:t>
      </w:r>
      <w:hyperlink r:id="rId32">
        <w:r>
          <w:t xml:space="preserve"> </w:t>
        </w:r>
      </w:hyperlink>
      <w:hyperlink r:id="rId33">
        <w:r>
          <w:rPr>
            <w:color w:val="1155CC"/>
            <w:u w:val="single"/>
          </w:rPr>
          <w:t>Joint United Nations statement on ending discrimination in health care settings</w:t>
        </w:r>
      </w:hyperlink>
      <w:r>
        <w:t xml:space="preserve">, calling on stakeholders to support States in </w:t>
      </w:r>
      <w:r>
        <w:rPr>
          <w:b/>
        </w:rPr>
        <w:t xml:space="preserve">“reviewing and repealing punitive laws that have been proven to have negative health outcomes and that </w:t>
      </w:r>
      <w:r>
        <w:rPr>
          <w:b/>
        </w:rPr>
        <w:lastRenderedPageBreak/>
        <w:t xml:space="preserve">counter established public health evidence. These include laws that </w:t>
      </w:r>
      <w:proofErr w:type="spellStart"/>
      <w:r>
        <w:rPr>
          <w:b/>
        </w:rPr>
        <w:t>criminalise</w:t>
      </w:r>
      <w:proofErr w:type="spellEnd"/>
      <w:r>
        <w:rPr>
          <w:b/>
        </w:rPr>
        <w:t xml:space="preserve"> or otherwise prohibit…adult consensual sex work…” </w:t>
      </w:r>
    </w:p>
    <w:p w14:paraId="4787ED66" w14:textId="77777777" w:rsidR="005216A2" w:rsidRDefault="005216A2" w:rsidP="005216A2">
      <w:pPr>
        <w:jc w:val="both"/>
      </w:pPr>
    </w:p>
    <w:p w14:paraId="0000000D" w14:textId="6BD4387C" w:rsidR="001725D8" w:rsidRDefault="002B3058" w:rsidP="005216A2">
      <w:pPr>
        <w:jc w:val="both"/>
      </w:pPr>
      <w:r>
        <w:t xml:space="preserve">There is ample evidence that laws that </w:t>
      </w:r>
      <w:proofErr w:type="spellStart"/>
      <w:r>
        <w:t>criminalise</w:t>
      </w:r>
      <w:proofErr w:type="spellEnd"/>
      <w:r>
        <w:t xml:space="preserve"> clients, sometimes referred to as the ‘Nordic Model’,</w:t>
      </w:r>
      <w:hyperlink r:id="rId34">
        <w:r>
          <w:t xml:space="preserve"> </w:t>
        </w:r>
      </w:hyperlink>
      <w:hyperlink r:id="rId35">
        <w:r>
          <w:rPr>
            <w:color w:val="1155CC"/>
            <w:u w:val="single"/>
          </w:rPr>
          <w:t>make sex workers more vulnerable to violence, discrimination and exploitation</w:t>
        </w:r>
      </w:hyperlink>
      <w:r>
        <w:t>.</w:t>
      </w:r>
      <w:r>
        <w:rPr>
          <w:vertAlign w:val="superscript"/>
        </w:rPr>
        <w:t xml:space="preserve"> </w:t>
      </w:r>
      <w:r>
        <w:t>That sex workers face harassment, prosecution and arbitrary arrest by authorities as a direct result of such laws has been well</w:t>
      </w:r>
      <w:hyperlink r:id="rId36">
        <w:r>
          <w:t xml:space="preserve"> </w:t>
        </w:r>
      </w:hyperlink>
      <w:hyperlink r:id="rId37">
        <w:r>
          <w:rPr>
            <w:color w:val="1155CC"/>
            <w:u w:val="single"/>
          </w:rPr>
          <w:t>researched and documented</w:t>
        </w:r>
      </w:hyperlink>
      <w:r>
        <w:t>.</w:t>
      </w:r>
    </w:p>
    <w:p w14:paraId="0000000E" w14:textId="77777777" w:rsidR="001725D8" w:rsidRDefault="002B3058">
      <w:pPr>
        <w:spacing w:before="240" w:after="240"/>
        <w:jc w:val="both"/>
      </w:pPr>
      <w:r>
        <w:t xml:space="preserve">We welcome the Maltese government’s express stance against the ‘Nordic Model’ and strong support for rights-based approaches that will both ensure protection of sex workers’ rights and contribute to the fight against human trafficking and exploitation. </w:t>
      </w:r>
    </w:p>
    <w:p w14:paraId="0000000F" w14:textId="77777777" w:rsidR="001725D8" w:rsidRDefault="002B3058">
      <w:pPr>
        <w:spacing w:before="240" w:after="240"/>
        <w:jc w:val="both"/>
      </w:pPr>
      <w:r>
        <w:t>RECOMMENDATIONS</w:t>
      </w:r>
    </w:p>
    <w:p w14:paraId="00000010" w14:textId="52C62712" w:rsidR="001725D8" w:rsidRDefault="002B3058">
      <w:pPr>
        <w:numPr>
          <w:ilvl w:val="0"/>
          <w:numId w:val="1"/>
        </w:numPr>
        <w:spacing w:before="240"/>
        <w:jc w:val="both"/>
      </w:pPr>
      <w:r>
        <w:t xml:space="preserve">Ensure the full </w:t>
      </w:r>
      <w:proofErr w:type="spellStart"/>
      <w:r>
        <w:t>decriminalisation</w:t>
      </w:r>
      <w:proofErr w:type="spellEnd"/>
      <w:r>
        <w:t xml:space="preserve"> of all aspects of sex work, including sex workers, clients and third </w:t>
      </w:r>
      <w:r w:rsidR="005216A2">
        <w:t>parties.</w:t>
      </w:r>
      <w:r>
        <w:t xml:space="preserve"> </w:t>
      </w:r>
    </w:p>
    <w:p w14:paraId="00000011" w14:textId="1F1CBF18" w:rsidR="001725D8" w:rsidRDefault="002B3058">
      <w:pPr>
        <w:numPr>
          <w:ilvl w:val="0"/>
          <w:numId w:val="1"/>
        </w:numPr>
        <w:jc w:val="both"/>
      </w:pPr>
      <w:r>
        <w:t>Ensure the meaningful participation of sex workers in the development of laws and policies that directly affect their lives and safety</w:t>
      </w:r>
      <w:r w:rsidR="005216A2">
        <w:t>.</w:t>
      </w:r>
    </w:p>
    <w:p w14:paraId="00000012" w14:textId="06665A1A" w:rsidR="001725D8" w:rsidRDefault="002B3058">
      <w:pPr>
        <w:numPr>
          <w:ilvl w:val="0"/>
          <w:numId w:val="1"/>
        </w:numPr>
        <w:jc w:val="both"/>
      </w:pPr>
      <w:r>
        <w:t>Refrain from the discriminatory enforcement against sex workers of other laws, such as those on vagrancy, loitering, and immigration requirements</w:t>
      </w:r>
      <w:r w:rsidR="005216A2">
        <w:t>.</w:t>
      </w:r>
    </w:p>
    <w:p w14:paraId="00000013" w14:textId="77777777" w:rsidR="001725D8" w:rsidRDefault="002B3058">
      <w:pPr>
        <w:numPr>
          <w:ilvl w:val="0"/>
          <w:numId w:val="1"/>
        </w:numPr>
        <w:jc w:val="both"/>
      </w:pPr>
      <w:r>
        <w:t xml:space="preserve">Enact laws and policies that protect sex workers’ health and safety and that oppose all acts of exploitation and trafficking. </w:t>
      </w:r>
    </w:p>
    <w:p w14:paraId="00000014" w14:textId="7A5475C0" w:rsidR="001725D8" w:rsidRDefault="002B3058">
      <w:pPr>
        <w:numPr>
          <w:ilvl w:val="0"/>
          <w:numId w:val="1"/>
        </w:numPr>
        <w:jc w:val="both"/>
      </w:pPr>
      <w:r>
        <w:t xml:space="preserve">Ensure that effective frameworks and services are put in place which allow people to leave sex work </w:t>
      </w:r>
      <w:proofErr w:type="gramStart"/>
      <w:r>
        <w:t>if and when</w:t>
      </w:r>
      <w:proofErr w:type="gramEnd"/>
      <w:r>
        <w:t xml:space="preserve"> they choose</w:t>
      </w:r>
      <w:r w:rsidR="005216A2">
        <w:t>.</w:t>
      </w:r>
      <w:r>
        <w:t xml:space="preserve"> </w:t>
      </w:r>
    </w:p>
    <w:p w14:paraId="00000015" w14:textId="4A52A128" w:rsidR="001725D8" w:rsidRDefault="002B3058">
      <w:pPr>
        <w:numPr>
          <w:ilvl w:val="0"/>
          <w:numId w:val="1"/>
        </w:numPr>
        <w:spacing w:after="200"/>
        <w:jc w:val="both"/>
      </w:pPr>
      <w:r>
        <w:t xml:space="preserve">Ensure that sex workers’ rights are respected, protected and fulfilled and that they have equal access to justice, </w:t>
      </w:r>
      <w:r w:rsidR="005216A2">
        <w:t>healthcare,</w:t>
      </w:r>
      <w:r>
        <w:t xml:space="preserve"> and other public services, and to equal protection under the law.</w:t>
      </w:r>
    </w:p>
    <w:p w14:paraId="00000016" w14:textId="77777777" w:rsidR="001725D8" w:rsidRDefault="007A3B46">
      <w:pPr>
        <w:spacing w:before="240" w:after="200"/>
        <w:jc w:val="both"/>
      </w:pPr>
      <w:r>
        <w:pict w14:anchorId="30C4EEDB">
          <v:rect id="_x0000_i1025" style="width:0;height:1.5pt" o:hralign="center" o:hrstd="t" o:hr="t" fillcolor="#a0a0a0" stroked="f"/>
        </w:pict>
      </w:r>
    </w:p>
    <w:p w14:paraId="00000017" w14:textId="5016646D" w:rsidR="001725D8" w:rsidRDefault="002B3058">
      <w:pPr>
        <w:spacing w:before="240" w:after="200"/>
        <w:jc w:val="both"/>
      </w:pPr>
      <w:r>
        <w:t>The following</w:t>
      </w:r>
      <w:r w:rsidR="005216A2">
        <w:t xml:space="preserve"> civil society</w:t>
      </w:r>
      <w:r>
        <w:t xml:space="preserve"> </w:t>
      </w:r>
      <w:proofErr w:type="spellStart"/>
      <w:r>
        <w:t>organisations</w:t>
      </w:r>
      <w:proofErr w:type="spellEnd"/>
      <w:r>
        <w:t xml:space="preserve"> endorse this statement:</w:t>
      </w:r>
    </w:p>
    <w:p w14:paraId="00000018" w14:textId="77777777" w:rsidR="001725D8" w:rsidRDefault="002B3058">
      <w:pPr>
        <w:numPr>
          <w:ilvl w:val="0"/>
          <w:numId w:val="2"/>
        </w:numPr>
        <w:spacing w:before="240"/>
        <w:jc w:val="both"/>
      </w:pPr>
      <w:r>
        <w:t>Amnesty International</w:t>
      </w:r>
    </w:p>
    <w:p w14:paraId="00000019" w14:textId="77777777" w:rsidR="001725D8" w:rsidRDefault="002B3058">
      <w:pPr>
        <w:numPr>
          <w:ilvl w:val="0"/>
          <w:numId w:val="2"/>
        </w:numPr>
        <w:jc w:val="both"/>
      </w:pPr>
      <w:r>
        <w:t>CREA</w:t>
      </w:r>
    </w:p>
    <w:p w14:paraId="0000001A" w14:textId="77777777" w:rsidR="001725D8" w:rsidRDefault="002B3058">
      <w:pPr>
        <w:numPr>
          <w:ilvl w:val="0"/>
          <w:numId w:val="2"/>
        </w:numPr>
        <w:jc w:val="both"/>
      </w:pPr>
      <w:r>
        <w:t>Global Alliance Against Traffic in Women (GAATW)</w:t>
      </w:r>
    </w:p>
    <w:p w14:paraId="0000001C" w14:textId="0D1437C1" w:rsidR="001725D8" w:rsidRDefault="002B3058" w:rsidP="005216A2">
      <w:pPr>
        <w:numPr>
          <w:ilvl w:val="0"/>
          <w:numId w:val="2"/>
        </w:numPr>
        <w:spacing w:after="200"/>
        <w:jc w:val="both"/>
      </w:pPr>
      <w:r>
        <w:t>International Women’s Rights Action Watch Asia Pacific (IWRAW AP)</w:t>
      </w:r>
    </w:p>
    <w:sectPr w:rsidR="001725D8">
      <w:footerReference w:type="default" r:id="rId3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EEBB" w14:textId="77777777" w:rsidR="007A3B46" w:rsidRDefault="007A3B46">
      <w:pPr>
        <w:spacing w:line="240" w:lineRule="auto"/>
      </w:pPr>
      <w:r>
        <w:separator/>
      </w:r>
    </w:p>
  </w:endnote>
  <w:endnote w:type="continuationSeparator" w:id="0">
    <w:p w14:paraId="41BC10B9" w14:textId="77777777" w:rsidR="007A3B46" w:rsidRDefault="007A3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780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6E00E" w14:textId="47BDB1E0" w:rsidR="007965A8" w:rsidRDefault="007965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EA6939" w14:textId="77777777" w:rsidR="007965A8" w:rsidRDefault="00796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90D4" w14:textId="77777777" w:rsidR="007A3B46" w:rsidRDefault="007A3B46">
      <w:pPr>
        <w:spacing w:line="240" w:lineRule="auto"/>
      </w:pPr>
      <w:r>
        <w:separator/>
      </w:r>
    </w:p>
  </w:footnote>
  <w:footnote w:type="continuationSeparator" w:id="0">
    <w:p w14:paraId="72B9F5E2" w14:textId="77777777" w:rsidR="007A3B46" w:rsidRDefault="007A3B46">
      <w:pPr>
        <w:spacing w:line="240" w:lineRule="auto"/>
      </w:pPr>
      <w:r>
        <w:continuationSeparator/>
      </w:r>
    </w:p>
  </w:footnote>
  <w:footnote w:id="1">
    <w:p w14:paraId="0000001E" w14:textId="2D403D54" w:rsidR="001725D8" w:rsidRPr="007965A8" w:rsidRDefault="002B3058">
      <w:pPr>
        <w:spacing w:line="240" w:lineRule="auto"/>
        <w:rPr>
          <w:sz w:val="18"/>
          <w:szCs w:val="18"/>
        </w:rPr>
      </w:pPr>
      <w:r w:rsidRPr="007965A8">
        <w:rPr>
          <w:sz w:val="20"/>
          <w:szCs w:val="20"/>
          <w:vertAlign w:val="superscript"/>
        </w:rPr>
        <w:footnoteRef/>
      </w:r>
      <w:r w:rsidRPr="007965A8">
        <w:rPr>
          <w:sz w:val="18"/>
          <w:szCs w:val="18"/>
        </w:rPr>
        <w:t xml:space="preserve"> Global Network of Sex Work Projects, The Impact of </w:t>
      </w:r>
      <w:proofErr w:type="spellStart"/>
      <w:r w:rsidRPr="007965A8">
        <w:rPr>
          <w:sz w:val="18"/>
          <w:szCs w:val="18"/>
        </w:rPr>
        <w:t>Criminalisation</w:t>
      </w:r>
      <w:proofErr w:type="spellEnd"/>
      <w:r w:rsidRPr="007965A8">
        <w:rPr>
          <w:sz w:val="18"/>
          <w:szCs w:val="18"/>
        </w:rPr>
        <w:t xml:space="preserve"> on Sex Workers’ Vulnerability to HIV and Violence, December 2017. Available at: https://www.nswp.org/resource/the-impact-criminalisation-sex-workers-vulnerability-hiv-and-violence</w:t>
      </w:r>
      <w:r w:rsidR="005216A2" w:rsidRPr="007965A8">
        <w:rPr>
          <w:sz w:val="18"/>
          <w:szCs w:val="18"/>
        </w:rPr>
        <w:t>.</w:t>
      </w:r>
    </w:p>
  </w:footnote>
  <w:footnote w:id="2">
    <w:p w14:paraId="0000001D" w14:textId="6E64D4AF" w:rsidR="001725D8" w:rsidRPr="007965A8" w:rsidRDefault="002B3058">
      <w:pPr>
        <w:spacing w:line="240" w:lineRule="auto"/>
        <w:rPr>
          <w:sz w:val="18"/>
          <w:szCs w:val="18"/>
        </w:rPr>
      </w:pPr>
      <w:r w:rsidRPr="007965A8">
        <w:rPr>
          <w:sz w:val="20"/>
          <w:szCs w:val="20"/>
          <w:vertAlign w:val="superscript"/>
        </w:rPr>
        <w:footnoteRef/>
      </w:r>
      <w:r w:rsidRPr="007965A8">
        <w:rPr>
          <w:sz w:val="18"/>
          <w:szCs w:val="18"/>
        </w:rPr>
        <w:t xml:space="preserve"> Amnesty International, Explanatory Note on Amnesty International’s Policy on State Obligations to Respect, Protect and Fulfill the Human Rights of Sex Workers, Index: POL 30/4063/2016 26 May 2016, page eden%E2%80%99s-sex-workers21</w:t>
      </w:r>
      <w:r w:rsidR="005216A2" w:rsidRPr="007965A8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5073"/>
    <w:multiLevelType w:val="multilevel"/>
    <w:tmpl w:val="38849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AD08C8"/>
    <w:multiLevelType w:val="multilevel"/>
    <w:tmpl w:val="2C5E8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D8"/>
    <w:rsid w:val="001725D8"/>
    <w:rsid w:val="002B3058"/>
    <w:rsid w:val="005216A2"/>
    <w:rsid w:val="007965A8"/>
    <w:rsid w:val="007A3B46"/>
    <w:rsid w:val="00F0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E096"/>
  <w15:docId w15:val="{B399DC3F-AF50-472A-8690-FB45404C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965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8"/>
  </w:style>
  <w:style w:type="paragraph" w:styleId="Footer">
    <w:name w:val="footer"/>
    <w:basedOn w:val="Normal"/>
    <w:link w:val="FooterChar"/>
    <w:uiPriority w:val="99"/>
    <w:unhideWhenUsed/>
    <w:rsid w:val="007965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societyfoundations.org/publications/ten-reasons-decriminalize-sex-work" TargetMode="External"/><Relationship Id="rId18" Type="http://schemas.openxmlformats.org/officeDocument/2006/relationships/hyperlink" Target="http://msmgf.org/msmgf-on-the-rentboy-raids-no-justice-in-criminalizing-sex-work/" TargetMode="External"/><Relationship Id="rId26" Type="http://schemas.openxmlformats.org/officeDocument/2006/relationships/hyperlink" Target="http://www.thelancet.com/series/HIV-and-sex-worker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awid.org/news-and-analysis/awid-calls-voices-sex-workers-be-heard-european-parliament" TargetMode="External"/><Relationship Id="rId34" Type="http://schemas.openxmlformats.org/officeDocument/2006/relationships/hyperlink" Target="http://lastradainternational.org/doc-center/3049/sweden%E2%80%99s-abolitionist-discourse-and-law-effects-on-the-dynamics-of-swedish-sex-work-and-on-the-lives-of-sweden%E2%80%99s-sex-workers" TargetMode="External"/><Relationship Id="rId7" Type="http://schemas.openxmlformats.org/officeDocument/2006/relationships/hyperlink" Target="http://www.medecinsdumonde.org/fr/actualites/presse/2017/12/14/medecins-du-monde-appelle-la-decriminalisation-du-travail-du-sexe" TargetMode="External"/><Relationship Id="rId12" Type="http://schemas.openxmlformats.org/officeDocument/2006/relationships/hyperlink" Target="http://www.hivlawcommission.org/index.php/report" TargetMode="External"/><Relationship Id="rId17" Type="http://schemas.openxmlformats.org/officeDocument/2006/relationships/hyperlink" Target="http://msmgf.org/msmgf-on-the-rentboy-raids-no-justice-in-criminalizing-sex-work/" TargetMode="External"/><Relationship Id="rId25" Type="http://schemas.openxmlformats.org/officeDocument/2006/relationships/hyperlink" Target="http://www.gaatw.org/statements/GAATWStatement_05.2013.pdf" TargetMode="External"/><Relationship Id="rId33" Type="http://schemas.openxmlformats.org/officeDocument/2006/relationships/hyperlink" Target="http://www.unaids.org/en/resources/documents/2017/ending-discrimination-in-health-care-settings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gnpplus.net/gnp-supports-the-decriminalisation-of-consensual-adult-sex-work/" TargetMode="External"/><Relationship Id="rId20" Type="http://schemas.openxmlformats.org/officeDocument/2006/relationships/hyperlink" Target="http://www.awid.org/news-and-analysis/awid-calls-voices-sex-workers-be-heard-european-parliament" TargetMode="External"/><Relationship Id="rId29" Type="http://schemas.openxmlformats.org/officeDocument/2006/relationships/hyperlink" Target="https://law.yale.edu/ghjp/projects/gender-sexuality-and-rights/protecting-health-and-rights-sex-workers-us-and-globall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vlawcommission.org/index.php/report" TargetMode="External"/><Relationship Id="rId24" Type="http://schemas.openxmlformats.org/officeDocument/2006/relationships/hyperlink" Target="http://www.gaatw.org/statements/GAATWStatement_05.2013.pdf" TargetMode="External"/><Relationship Id="rId32" Type="http://schemas.openxmlformats.org/officeDocument/2006/relationships/hyperlink" Target="http://www.unaids.org/en/resources/documents/2017/ending-discrimination-in-health-care-settings" TargetMode="External"/><Relationship Id="rId37" Type="http://schemas.openxmlformats.org/officeDocument/2006/relationships/hyperlink" Target="http://www.nswp.org/resource/policy-brief-the-impact-end-demand-legislation-women-sex-workers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npplus.net/gnp-supports-the-decriminalisation-of-consensual-adult-sex-work/" TargetMode="External"/><Relationship Id="rId23" Type="http://schemas.openxmlformats.org/officeDocument/2006/relationships/hyperlink" Target="http://www.nswp.org/resource/sex-worker-rights-almost-everything-you-wanted-know-were-too-afraid-ask" TargetMode="External"/><Relationship Id="rId28" Type="http://schemas.openxmlformats.org/officeDocument/2006/relationships/hyperlink" Target="https://www.nswp.org/resource/icw-sex-work-hiv-position-statement" TargetMode="External"/><Relationship Id="rId36" Type="http://schemas.openxmlformats.org/officeDocument/2006/relationships/hyperlink" Target="http://www.nswp.org/resource/policy-brief-the-impact-end-demand-legislation-women-sex-workers" TargetMode="External"/><Relationship Id="rId10" Type="http://schemas.openxmlformats.org/officeDocument/2006/relationships/hyperlink" Target="https://www.hrw.org/world-report/2014" TargetMode="External"/><Relationship Id="rId19" Type="http://schemas.openxmlformats.org/officeDocument/2006/relationships/hyperlink" Target="http://aidsalliance.org/stories/612-the-perils-of-criminalising-sex-work" TargetMode="External"/><Relationship Id="rId31" Type="http://schemas.openxmlformats.org/officeDocument/2006/relationships/hyperlink" Target="https://ilga.org/sex-work-lgbti-organisations-call-for-decriminalis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w.org/world-report/2014" TargetMode="External"/><Relationship Id="rId14" Type="http://schemas.openxmlformats.org/officeDocument/2006/relationships/hyperlink" Target="https://www.opensocietyfoundations.org/publications/ten-reasons-decriminalize-sex-work" TargetMode="External"/><Relationship Id="rId22" Type="http://schemas.openxmlformats.org/officeDocument/2006/relationships/hyperlink" Target="http://www.nswp.org/resource/sex-worker-rights-almost-everything-you-wanted-know-were-too-afraid-ask" TargetMode="External"/><Relationship Id="rId27" Type="http://schemas.openxmlformats.org/officeDocument/2006/relationships/hyperlink" Target="http://www.thelancet.com/series/HIV-and-sex-workers" TargetMode="External"/><Relationship Id="rId30" Type="http://schemas.openxmlformats.org/officeDocument/2006/relationships/hyperlink" Target="https://stopaids.org.uk/resources/stopaids-position-paper-supporting-the-full-decriminalisation-of-sex-work/" TargetMode="External"/><Relationship Id="rId35" Type="http://schemas.openxmlformats.org/officeDocument/2006/relationships/hyperlink" Target="http://lastradainternational.org/doc-center/3049/sweden%E2%80%99s-abolitionist-discourse-and-law-effects-on-the-dynamics-of-swedish-sex-work-and-on-the-lives-of-sweden%E2%80%99s-sex-workers" TargetMode="External"/><Relationship Id="rId8" Type="http://schemas.openxmlformats.org/officeDocument/2006/relationships/hyperlink" Target="https://www.amnesty.org/en/documents/pol30/4062/2016/en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IWRAW APAC</cp:lastModifiedBy>
  <cp:revision>4</cp:revision>
  <dcterms:created xsi:type="dcterms:W3CDTF">2021-04-12T04:40:00Z</dcterms:created>
  <dcterms:modified xsi:type="dcterms:W3CDTF">2021-04-12T04:51:00Z</dcterms:modified>
</cp:coreProperties>
</file>